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20" w:lineRule="exact"/>
        <w:rPr>
          <w:rFonts w:hint="eastAsia" w:ascii="宋体" w:hAnsi="宋体" w:eastAsia="宋体"/>
          <w:color w:val="000000"/>
          <w:sz w:val="32"/>
          <w:szCs w:val="32"/>
        </w:rPr>
      </w:pPr>
    </w:p>
    <w:p>
      <w:pPr>
        <w:spacing w:line="520" w:lineRule="exact"/>
        <w:rPr>
          <w:rFonts w:ascii="宋体" w:hAnsi="宋体" w:eastAsia="宋体"/>
          <w:color w:val="000000"/>
          <w:sz w:val="32"/>
          <w:szCs w:val="32"/>
        </w:rPr>
      </w:pPr>
    </w:p>
    <w:p>
      <w:pPr>
        <w:spacing w:line="520" w:lineRule="exact"/>
        <w:rPr>
          <w:rFonts w:ascii="宋体" w:hAnsi="宋体" w:eastAsia="宋体"/>
          <w:color w:val="000000"/>
          <w:sz w:val="32"/>
          <w:szCs w:val="32"/>
        </w:rPr>
      </w:pPr>
    </w:p>
    <w:p>
      <w:pPr>
        <w:spacing w:line="520" w:lineRule="exact"/>
        <w:rPr>
          <w:rFonts w:ascii="宋体" w:hAnsi="宋体" w:eastAsia="宋体"/>
          <w:color w:val="000000"/>
          <w:sz w:val="32"/>
          <w:szCs w:val="32"/>
        </w:rPr>
      </w:pPr>
    </w:p>
    <w:p>
      <w:pPr>
        <w:spacing w:line="640" w:lineRule="exact"/>
        <w:jc w:val="center"/>
        <w:rPr>
          <w:rFonts w:ascii="方正小标宋_GBK" w:hAnsi="宋体" w:eastAsia="方正小标宋_GBK"/>
          <w:color w:val="000000"/>
          <w:sz w:val="44"/>
          <w:szCs w:val="44"/>
        </w:rPr>
      </w:pPr>
      <w:r>
        <w:rPr>
          <w:rFonts w:hint="eastAsia" w:ascii="方正小标宋_GBK" w:hAnsi="宋体" w:eastAsia="方正小标宋_GBK"/>
          <w:color w:val="000000"/>
          <w:sz w:val="44"/>
          <w:szCs w:val="44"/>
        </w:rPr>
        <w:t>新疆国家电影事业发展专项资金补助地方资金中央转移支付绩效自评报告</w:t>
      </w:r>
    </w:p>
    <w:p>
      <w:pPr>
        <w:spacing w:line="520" w:lineRule="exact"/>
        <w:jc w:val="center"/>
        <w:rPr>
          <w:rFonts w:ascii="仿宋_GB2312" w:hAnsi="仿宋"/>
          <w:color w:val="000000"/>
          <w:sz w:val="32"/>
          <w:szCs w:val="32"/>
        </w:rPr>
      </w:pPr>
      <w:r>
        <w:rPr>
          <w:rFonts w:hint="eastAsia" w:ascii="仿宋_GB2312" w:hAnsi="仿宋"/>
          <w:color w:val="000000"/>
          <w:sz w:val="32"/>
          <w:szCs w:val="32"/>
        </w:rPr>
        <w:t>（</w:t>
      </w:r>
      <w:r>
        <w:rPr>
          <w:rFonts w:ascii="仿宋_GB2312" w:hAnsi="仿宋"/>
          <w:color w:val="000000"/>
          <w:sz w:val="32"/>
          <w:szCs w:val="32"/>
        </w:rPr>
        <w:t>2021</w:t>
      </w:r>
      <w:r>
        <w:rPr>
          <w:rFonts w:hint="eastAsia" w:ascii="仿宋_GB2312" w:hAnsi="仿宋"/>
          <w:color w:val="000000"/>
          <w:sz w:val="32"/>
          <w:szCs w:val="32"/>
        </w:rPr>
        <w:t>年度）</w:t>
      </w:r>
    </w:p>
    <w:p>
      <w:pPr>
        <w:spacing w:line="520" w:lineRule="exact"/>
        <w:jc w:val="center"/>
        <w:rPr>
          <w:rFonts w:ascii="仿宋_GB2312" w:hAnsi="仿宋"/>
          <w:color w:val="000000"/>
          <w:sz w:val="32"/>
          <w:szCs w:val="32"/>
        </w:rPr>
      </w:pPr>
    </w:p>
    <w:p>
      <w:pPr>
        <w:spacing w:line="520" w:lineRule="exact"/>
        <w:jc w:val="center"/>
        <w:rPr>
          <w:rFonts w:ascii="仿宋_GB2312" w:hAnsi="仿宋"/>
          <w:color w:val="000000"/>
          <w:sz w:val="32"/>
          <w:szCs w:val="32"/>
        </w:rPr>
      </w:pPr>
    </w:p>
    <w:p>
      <w:pPr>
        <w:spacing w:line="520" w:lineRule="exact"/>
        <w:jc w:val="center"/>
        <w:rPr>
          <w:rFonts w:ascii="仿宋_GB2312" w:hAnsi="仿宋"/>
          <w:color w:val="000000"/>
          <w:sz w:val="32"/>
          <w:szCs w:val="32"/>
        </w:rPr>
      </w:pPr>
    </w:p>
    <w:p>
      <w:pPr>
        <w:spacing w:line="520" w:lineRule="exact"/>
        <w:jc w:val="center"/>
        <w:rPr>
          <w:rFonts w:ascii="仿宋_GB2312" w:hAnsi="仿宋"/>
          <w:color w:val="000000"/>
          <w:sz w:val="32"/>
          <w:szCs w:val="32"/>
        </w:rPr>
      </w:pPr>
    </w:p>
    <w:p>
      <w:pPr>
        <w:spacing w:line="520" w:lineRule="exact"/>
        <w:jc w:val="center"/>
        <w:rPr>
          <w:rFonts w:ascii="仿宋_GB2312" w:hAnsi="仿宋"/>
          <w:color w:val="000000"/>
          <w:sz w:val="32"/>
          <w:szCs w:val="32"/>
        </w:rPr>
      </w:pPr>
    </w:p>
    <w:p>
      <w:pPr>
        <w:spacing w:line="520" w:lineRule="exact"/>
        <w:rPr>
          <w:rFonts w:ascii="仿宋_GB2312" w:hAnsi="仿宋"/>
          <w:color w:val="000000"/>
          <w:sz w:val="32"/>
          <w:szCs w:val="32"/>
        </w:rPr>
      </w:pPr>
    </w:p>
    <w:p>
      <w:pPr>
        <w:spacing w:line="520" w:lineRule="exact"/>
        <w:rPr>
          <w:rFonts w:ascii="仿宋_GB2312" w:hAnsi="仿宋"/>
          <w:color w:val="000000"/>
          <w:sz w:val="32"/>
          <w:szCs w:val="32"/>
        </w:rPr>
      </w:pPr>
    </w:p>
    <w:p>
      <w:pPr>
        <w:spacing w:line="520" w:lineRule="exact"/>
        <w:rPr>
          <w:rFonts w:ascii="仿宋_GB2312" w:hAnsi="仿宋"/>
          <w:color w:val="000000"/>
          <w:sz w:val="32"/>
          <w:szCs w:val="32"/>
        </w:rPr>
      </w:pPr>
    </w:p>
    <w:p>
      <w:pPr>
        <w:spacing w:line="520" w:lineRule="exact"/>
        <w:rPr>
          <w:rFonts w:ascii="仿宋_GB2312" w:hAnsi="仿宋"/>
          <w:color w:val="000000"/>
          <w:sz w:val="32"/>
          <w:szCs w:val="32"/>
        </w:rPr>
      </w:pPr>
    </w:p>
    <w:p>
      <w:pPr>
        <w:spacing w:line="520" w:lineRule="exact"/>
        <w:rPr>
          <w:rFonts w:ascii="仿宋_GB2312" w:hAnsi="仿宋"/>
          <w:color w:val="000000"/>
          <w:sz w:val="32"/>
          <w:szCs w:val="32"/>
        </w:rPr>
      </w:pPr>
    </w:p>
    <w:p>
      <w:pPr>
        <w:spacing w:line="560" w:lineRule="exact"/>
        <w:ind w:firstLine="642" w:firstLineChars="200"/>
        <w:rPr>
          <w:rFonts w:ascii="仿宋_GB2312" w:hAnsi="黑体"/>
          <w:b/>
          <w:bCs/>
          <w:color w:val="000000"/>
          <w:spacing w:val="-11"/>
          <w:sz w:val="32"/>
          <w:szCs w:val="32"/>
        </w:rPr>
      </w:pPr>
      <w:r>
        <w:rPr>
          <w:rFonts w:hint="eastAsia" w:ascii="仿宋_GB2312" w:hAnsi="黑体"/>
          <w:b/>
          <w:bCs/>
          <w:color w:val="000000"/>
          <w:sz w:val="32"/>
          <w:szCs w:val="32"/>
        </w:rPr>
        <w:t>项目名称：</w:t>
      </w:r>
      <w:r>
        <w:rPr>
          <w:rFonts w:hint="eastAsia" w:ascii="仿宋_GB2312" w:hAnsi="仿宋"/>
          <w:b/>
          <w:bCs/>
          <w:color w:val="000000"/>
          <w:spacing w:val="-11"/>
          <w:sz w:val="32"/>
          <w:szCs w:val="32"/>
        </w:rPr>
        <w:t>国家电影事业发展专项资金补助地方资金</w:t>
      </w:r>
    </w:p>
    <w:p>
      <w:pPr>
        <w:spacing w:line="560" w:lineRule="exact"/>
        <w:ind w:firstLine="642" w:firstLineChars="200"/>
        <w:rPr>
          <w:rFonts w:ascii="仿宋_GB2312" w:hAnsi="黑体"/>
          <w:b/>
          <w:bCs/>
          <w:color w:val="000000"/>
          <w:sz w:val="32"/>
          <w:szCs w:val="32"/>
        </w:rPr>
      </w:pPr>
      <w:r>
        <w:rPr>
          <w:rFonts w:hint="eastAsia" w:ascii="仿宋_GB2312" w:hAnsi="黑体"/>
          <w:b/>
          <w:bCs/>
          <w:color w:val="000000"/>
          <w:sz w:val="32"/>
          <w:szCs w:val="32"/>
        </w:rPr>
        <w:t>实施单位（公章）：中共新疆维吾尔自治区委员会宣传部</w:t>
      </w:r>
    </w:p>
    <w:p>
      <w:pPr>
        <w:spacing w:line="560" w:lineRule="exact"/>
        <w:ind w:firstLine="642" w:firstLineChars="200"/>
        <w:rPr>
          <w:rFonts w:ascii="仿宋_GB2312" w:hAnsi="黑体"/>
          <w:b/>
          <w:bCs/>
          <w:color w:val="000000"/>
          <w:sz w:val="32"/>
          <w:szCs w:val="32"/>
        </w:rPr>
      </w:pPr>
      <w:r>
        <w:rPr>
          <w:rFonts w:hint="eastAsia" w:ascii="仿宋_GB2312" w:hAnsi="黑体"/>
          <w:b/>
          <w:bCs/>
          <w:color w:val="000000"/>
          <w:sz w:val="32"/>
          <w:szCs w:val="32"/>
        </w:rPr>
        <w:t>主管部门（公章）：中共新疆维吾尔自治区委员会宣传部</w:t>
      </w:r>
    </w:p>
    <w:p>
      <w:pPr>
        <w:spacing w:line="560" w:lineRule="exact"/>
        <w:ind w:firstLine="642" w:firstLineChars="200"/>
        <w:rPr>
          <w:rFonts w:ascii="仿宋_GB2312" w:hAnsi="黑体"/>
          <w:b/>
          <w:bCs/>
          <w:color w:val="000000"/>
          <w:sz w:val="32"/>
          <w:szCs w:val="32"/>
        </w:rPr>
      </w:pPr>
      <w:r>
        <w:rPr>
          <w:rFonts w:hint="eastAsia" w:ascii="仿宋_GB2312" w:hAnsi="黑体"/>
          <w:b/>
          <w:bCs/>
          <w:color w:val="000000"/>
          <w:sz w:val="32"/>
          <w:szCs w:val="32"/>
        </w:rPr>
        <w:t>项目负责人（签章）：</w:t>
      </w:r>
      <w:r>
        <w:rPr>
          <w:rFonts w:hint="eastAsia" w:ascii="仿宋_GB2312" w:hAnsi="仿宋"/>
          <w:b/>
          <w:bCs/>
          <w:color w:val="000000"/>
          <w:sz w:val="32"/>
          <w:szCs w:val="32"/>
        </w:rPr>
        <w:t>刘红</w:t>
      </w:r>
    </w:p>
    <w:p>
      <w:pPr>
        <w:spacing w:line="560" w:lineRule="exact"/>
        <w:ind w:firstLine="642" w:firstLineChars="200"/>
        <w:rPr>
          <w:rFonts w:ascii="仿宋_GB2312" w:hAnsi="黑体"/>
          <w:b/>
          <w:bCs/>
          <w:color w:val="000000"/>
          <w:sz w:val="32"/>
          <w:szCs w:val="32"/>
        </w:rPr>
      </w:pPr>
      <w:r>
        <w:rPr>
          <w:rFonts w:hint="eastAsia" w:ascii="仿宋_GB2312" w:hAnsi="黑体"/>
          <w:b/>
          <w:bCs/>
          <w:color w:val="000000"/>
          <w:sz w:val="32"/>
          <w:szCs w:val="32"/>
        </w:rPr>
        <w:t>填报时间：20</w:t>
      </w:r>
      <w:r>
        <w:rPr>
          <w:rFonts w:ascii="仿宋_GB2312" w:hAnsi="黑体"/>
          <w:b/>
          <w:bCs/>
          <w:color w:val="000000"/>
          <w:sz w:val="32"/>
          <w:szCs w:val="32"/>
        </w:rPr>
        <w:t>2</w:t>
      </w:r>
      <w:r>
        <w:rPr>
          <w:rFonts w:hint="eastAsia" w:ascii="仿宋_GB2312" w:hAnsi="黑体"/>
          <w:b/>
          <w:bCs/>
          <w:color w:val="000000"/>
          <w:sz w:val="32"/>
          <w:szCs w:val="32"/>
        </w:rPr>
        <w:t>2年3月</w:t>
      </w:r>
      <w:r>
        <w:rPr>
          <w:rFonts w:hint="eastAsia" w:ascii="仿宋_GB2312" w:hAnsi="黑体"/>
          <w:b/>
          <w:bCs/>
          <w:color w:val="000000"/>
          <w:sz w:val="32"/>
          <w:szCs w:val="32"/>
          <w:lang w:val="en-US" w:eastAsia="zh-CN"/>
        </w:rPr>
        <w:t>28</w:t>
      </w:r>
      <w:r>
        <w:rPr>
          <w:rFonts w:hint="eastAsia" w:ascii="仿宋_GB2312" w:hAnsi="黑体"/>
          <w:b/>
          <w:bCs/>
          <w:color w:val="000000"/>
          <w:sz w:val="32"/>
          <w:szCs w:val="32"/>
        </w:rPr>
        <w:t>日</w:t>
      </w:r>
    </w:p>
    <w:p>
      <w:pPr>
        <w:spacing w:line="520" w:lineRule="exact"/>
        <w:jc w:val="center"/>
        <w:rPr>
          <w:rFonts w:ascii="仿宋_GB2312" w:hAnsi="仿宋"/>
          <w:b/>
          <w:bCs/>
          <w:color w:val="000000"/>
          <w:sz w:val="32"/>
          <w:szCs w:val="32"/>
        </w:rPr>
        <w:sectPr>
          <w:pgSz w:w="11906" w:h="16838"/>
          <w:pgMar w:top="1871" w:right="1531" w:bottom="1644" w:left="1531" w:header="851" w:footer="992" w:gutter="0"/>
          <w:pgNumType w:fmt="numberInDash"/>
          <w:cols w:space="720" w:num="1"/>
          <w:docGrid w:type="lines" w:linePitch="408" w:charSpace="0"/>
        </w:sectPr>
      </w:pPr>
    </w:p>
    <w:p>
      <w:pPr>
        <w:spacing w:line="560" w:lineRule="exact"/>
        <w:jc w:val="center"/>
        <w:rPr>
          <w:rFonts w:hint="eastAsia" w:ascii="方正小标宋_GBK" w:hAnsi="宋体" w:eastAsia="方正小标宋_GBK"/>
          <w:color w:val="000000"/>
          <w:sz w:val="44"/>
          <w:szCs w:val="44"/>
        </w:rPr>
      </w:pPr>
    </w:p>
    <w:p>
      <w:pPr>
        <w:spacing w:line="560" w:lineRule="exact"/>
        <w:jc w:val="center"/>
        <w:rPr>
          <w:rFonts w:hint="eastAsia" w:ascii="方正小标宋_GBK" w:hAnsi="宋体" w:eastAsia="方正小标宋_GBK"/>
          <w:color w:val="000000"/>
          <w:sz w:val="44"/>
          <w:szCs w:val="44"/>
        </w:rPr>
      </w:pPr>
      <w:bookmarkStart w:id="0" w:name="_GoBack"/>
      <w:bookmarkEnd w:id="0"/>
    </w:p>
    <w:p>
      <w:pPr>
        <w:spacing w:line="560" w:lineRule="exact"/>
        <w:jc w:val="center"/>
        <w:rPr>
          <w:rFonts w:ascii="方正小标宋_GBK" w:hAnsi="宋体" w:eastAsia="方正小标宋_GBK"/>
          <w:color w:val="000000"/>
          <w:sz w:val="44"/>
          <w:szCs w:val="44"/>
        </w:rPr>
      </w:pPr>
      <w:r>
        <w:rPr>
          <w:rFonts w:hint="eastAsia" w:ascii="方正小标宋_GBK" w:hAnsi="宋体" w:eastAsia="方正小标宋_GBK"/>
          <w:color w:val="000000"/>
          <w:sz w:val="44"/>
          <w:szCs w:val="44"/>
        </w:rPr>
        <w:t>新疆国家电影事业发展专项资金补助地方资金2021年度绩效自评报告</w:t>
      </w:r>
    </w:p>
    <w:p>
      <w:pPr>
        <w:spacing w:line="560" w:lineRule="exact"/>
        <w:jc w:val="center"/>
        <w:rPr>
          <w:rFonts w:ascii="方正小标宋_GBK" w:hAnsi="宋体" w:eastAsia="方正小标宋_GBK"/>
          <w:sz w:val="44"/>
          <w:szCs w:val="44"/>
        </w:rPr>
      </w:pPr>
    </w:p>
    <w:p>
      <w:pPr>
        <w:spacing w:line="560" w:lineRule="exact"/>
        <w:ind w:firstLine="640" w:firstLineChars="200"/>
        <w:rPr>
          <w:rFonts w:ascii="仿宋_GB2312" w:hAnsi="仿宋"/>
          <w:color w:val="000000"/>
          <w:sz w:val="32"/>
          <w:szCs w:val="32"/>
        </w:rPr>
      </w:pPr>
      <w:r>
        <w:rPr>
          <w:rFonts w:hint="eastAsia" w:ascii="仿宋_GB2312" w:hAnsi="仿宋"/>
          <w:color w:val="000000"/>
          <w:sz w:val="32"/>
          <w:szCs w:val="32"/>
          <w:lang w:eastAsia="zh-CN"/>
        </w:rPr>
        <w:t>为</w:t>
      </w:r>
      <w:r>
        <w:rPr>
          <w:rFonts w:hint="eastAsia" w:ascii="仿宋_GB2312" w:hAnsi="仿宋"/>
          <w:color w:val="000000"/>
          <w:sz w:val="32"/>
          <w:szCs w:val="32"/>
        </w:rPr>
        <w:t>贯彻落实党中央全面实施预算绩效管理决策部署，根据《财政部关于开展2021年度中央对地方转移支付预算执行情况绩效自评工作的通知》（财</w:t>
      </w:r>
      <w:r>
        <w:rPr>
          <w:rFonts w:ascii="仿宋_GB2312" w:hAnsi="仿宋"/>
          <w:color w:val="000000"/>
          <w:sz w:val="32"/>
          <w:szCs w:val="32"/>
        </w:rPr>
        <w:t>监</w:t>
      </w:r>
      <w:r>
        <w:rPr>
          <w:rFonts w:hint="eastAsia" w:ascii="仿宋_GB2312" w:hAnsi="仿宋"/>
          <w:color w:val="000000"/>
          <w:sz w:val="32"/>
          <w:szCs w:val="32"/>
        </w:rPr>
        <w:t>〔2022〕1号）精神，中共新疆维吾尔自治区委员会宣传部</w:t>
      </w:r>
      <w:r>
        <w:rPr>
          <w:rStyle w:val="7"/>
          <w:rFonts w:ascii="仿宋_GB2312" w:hAnsi="仿宋_GB2312" w:cs="仿宋_GB2312"/>
          <w:b w:val="0"/>
          <w:sz w:val="32"/>
          <w:szCs w:val="32"/>
        </w:rPr>
        <w:t>加强绩效管理组织领导，完善绩效管理工作机制，强化绩效监督评价</w:t>
      </w:r>
      <w:r>
        <w:rPr>
          <w:rFonts w:hint="eastAsia" w:ascii="仿宋_GB2312" w:hAnsi="仿宋"/>
          <w:color w:val="000000"/>
          <w:sz w:val="32"/>
          <w:szCs w:val="32"/>
        </w:rPr>
        <w:t>，严格按规范要求组织</w:t>
      </w:r>
      <w:r>
        <w:rPr>
          <w:rFonts w:ascii="仿宋_GB2312" w:hAnsi="仿宋"/>
          <w:color w:val="000000"/>
          <w:sz w:val="32"/>
          <w:szCs w:val="32"/>
        </w:rPr>
        <w:t>完成</w:t>
      </w:r>
      <w:r>
        <w:rPr>
          <w:rFonts w:hint="eastAsia" w:ascii="仿宋_GB2312" w:hAnsi="仿宋"/>
          <w:color w:val="000000"/>
          <w:sz w:val="32"/>
          <w:szCs w:val="32"/>
        </w:rPr>
        <w:t>了2021年度中央补助地方国家电影事业发展专项资金绩效自评工作，现将自评情况报告如下：</w:t>
      </w:r>
    </w:p>
    <w:p>
      <w:pPr>
        <w:spacing w:line="560" w:lineRule="exact"/>
        <w:ind w:firstLine="600"/>
        <w:jc w:val="left"/>
        <w:rPr>
          <w:rFonts w:ascii="黑体" w:hAnsi="黑体" w:eastAsia="黑体"/>
          <w:color w:val="000000"/>
          <w:sz w:val="32"/>
          <w:szCs w:val="32"/>
        </w:rPr>
      </w:pPr>
      <w:r>
        <w:rPr>
          <w:rFonts w:hint="eastAsia" w:ascii="黑体" w:hAnsi="黑体" w:eastAsia="黑体"/>
          <w:color w:val="000000"/>
          <w:sz w:val="32"/>
          <w:szCs w:val="32"/>
        </w:rPr>
        <w:t>一、</w:t>
      </w:r>
      <w:r>
        <w:rPr>
          <w:rFonts w:hint="eastAsia" w:ascii="黑体" w:hAnsi="黑体" w:eastAsia="黑体" w:cs="黑体"/>
          <w:bCs/>
          <w:color w:val="000000"/>
          <w:sz w:val="32"/>
          <w:szCs w:val="32"/>
        </w:rPr>
        <w:t>绩效目标分解下达情况</w:t>
      </w:r>
    </w:p>
    <w:p>
      <w:pPr>
        <w:spacing w:line="560" w:lineRule="exact"/>
        <w:ind w:firstLine="640" w:firstLineChars="200"/>
        <w:rPr>
          <w:rFonts w:ascii="楷体_GB2312" w:hAnsi="仿宋" w:eastAsia="楷体_GB2312"/>
          <w:bCs/>
          <w:color w:val="000000"/>
          <w:sz w:val="32"/>
          <w:szCs w:val="32"/>
        </w:rPr>
      </w:pPr>
      <w:r>
        <w:rPr>
          <w:rFonts w:hint="eastAsia" w:ascii="楷体_GB2312" w:hAnsi="仿宋" w:eastAsia="楷体_GB2312"/>
          <w:bCs/>
          <w:color w:val="000000"/>
          <w:sz w:val="32"/>
          <w:szCs w:val="32"/>
        </w:rPr>
        <w:t>（一）中央下达“</w:t>
      </w:r>
      <w:r>
        <w:rPr>
          <w:rFonts w:ascii="楷体_GB2312" w:hAnsi="仿宋" w:eastAsia="楷体_GB2312"/>
          <w:bCs/>
          <w:color w:val="000000"/>
          <w:sz w:val="32"/>
          <w:szCs w:val="32"/>
        </w:rPr>
        <w:t>中央</w:t>
      </w:r>
      <w:r>
        <w:rPr>
          <w:rFonts w:hint="eastAsia" w:ascii="楷体_GB2312" w:hAnsi="仿宋" w:eastAsia="楷体_GB2312"/>
          <w:bCs/>
          <w:color w:val="000000"/>
          <w:sz w:val="32"/>
          <w:szCs w:val="32"/>
        </w:rPr>
        <w:t>补助地方国家电影事业发展专项资金”预算和绩效目标情况</w:t>
      </w:r>
    </w:p>
    <w:p>
      <w:pPr>
        <w:spacing w:line="560" w:lineRule="exact"/>
        <w:ind w:firstLine="642" w:firstLineChars="200"/>
        <w:rPr>
          <w:rFonts w:ascii="仿宋_GB2312" w:hAnsi="仿宋"/>
          <w:b/>
          <w:bCs/>
          <w:color w:val="000000"/>
          <w:sz w:val="32"/>
          <w:szCs w:val="32"/>
        </w:rPr>
      </w:pPr>
      <w:r>
        <w:rPr>
          <w:rFonts w:hint="eastAsia" w:ascii="仿宋_GB2312" w:hAnsi="仿宋"/>
          <w:b/>
          <w:bCs/>
          <w:color w:val="000000"/>
          <w:sz w:val="32"/>
          <w:szCs w:val="32"/>
        </w:rPr>
        <w:t>1.下达预算情况</w:t>
      </w:r>
    </w:p>
    <w:p>
      <w:pPr>
        <w:spacing w:line="560" w:lineRule="exact"/>
        <w:ind w:firstLine="640" w:firstLineChars="200"/>
        <w:rPr>
          <w:rFonts w:ascii="仿宋_GB2312" w:hAnsi="仿宋"/>
          <w:color w:val="000000"/>
          <w:sz w:val="32"/>
          <w:szCs w:val="32"/>
        </w:rPr>
      </w:pPr>
      <w:r>
        <w:rPr>
          <w:rFonts w:hint="eastAsia" w:ascii="仿宋_GB2312" w:hAnsi="仿宋"/>
          <w:color w:val="000000"/>
          <w:sz w:val="32"/>
          <w:szCs w:val="32"/>
        </w:rPr>
        <w:t>2021年度，财政部分批下达自治区2021年中央补助地方国家电影事业发展专项资金项目，资金共计1089万元，用于鼓励影院疫情后放映国产电影促进中国电影持续发展。详细如下：</w:t>
      </w:r>
    </w:p>
    <w:p>
      <w:pPr>
        <w:spacing w:line="560" w:lineRule="exact"/>
        <w:ind w:firstLine="640" w:firstLineChars="200"/>
        <w:rPr>
          <w:rFonts w:ascii="仿宋_GB2312" w:hAnsi="仿宋"/>
          <w:color w:val="000000"/>
          <w:sz w:val="32"/>
          <w:szCs w:val="32"/>
        </w:rPr>
      </w:pPr>
      <w:r>
        <w:rPr>
          <w:rFonts w:hint="eastAsia" w:ascii="仿宋_GB2312" w:hAnsi="仿宋"/>
          <w:color w:val="000000"/>
          <w:sz w:val="32"/>
          <w:szCs w:val="32"/>
        </w:rPr>
        <w:t>2020年11月，《财政部关于提前下达2021年中央补助地方国家电影事业发展专项资金预算的通知》（财教〔2020〕177号），下达新疆2021年第一批中央补助地方国家电影事业发展专项资金131万元；</w:t>
      </w:r>
    </w:p>
    <w:p>
      <w:pPr>
        <w:spacing w:line="560" w:lineRule="exact"/>
        <w:ind w:firstLine="640" w:firstLineChars="200"/>
        <w:rPr>
          <w:rFonts w:ascii="仿宋_GB2312" w:hAnsi="仿宋"/>
          <w:color w:val="000000"/>
          <w:sz w:val="32"/>
          <w:szCs w:val="32"/>
        </w:rPr>
      </w:pPr>
      <w:r>
        <w:rPr>
          <w:rFonts w:hint="eastAsia" w:ascii="仿宋_GB2312" w:hAnsi="仿宋"/>
          <w:color w:val="000000"/>
          <w:sz w:val="32"/>
          <w:szCs w:val="32"/>
        </w:rPr>
        <w:t>2021年6月，《财政部关于下达2021年国家电影事业发展专项资金补助地方资金预算的通知》（财教〔2021〕96号），下达新疆2021年第二批中央补助地方国家电影事业发展专项资金958万元。</w:t>
      </w:r>
    </w:p>
    <w:p>
      <w:pPr>
        <w:spacing w:line="560" w:lineRule="exact"/>
        <w:ind w:firstLine="640" w:firstLineChars="200"/>
        <w:rPr>
          <w:rStyle w:val="7"/>
          <w:rFonts w:ascii="仿宋_GB2312" w:hAnsi="仿宋"/>
          <w:b w:val="0"/>
          <w:color w:val="000000"/>
          <w:spacing w:val="-17"/>
          <w:sz w:val="32"/>
          <w:szCs w:val="32"/>
        </w:rPr>
      </w:pPr>
      <w:r>
        <w:rPr>
          <w:rFonts w:hint="eastAsia" w:ascii="仿宋_GB2312" w:hAnsi="仿宋"/>
          <w:color w:val="000000"/>
          <w:sz w:val="32"/>
          <w:szCs w:val="32"/>
        </w:rPr>
        <w:t>2.下达绩效目标情况</w:t>
      </w:r>
    </w:p>
    <w:p>
      <w:pPr>
        <w:spacing w:line="560" w:lineRule="exact"/>
        <w:ind w:firstLine="572" w:firstLineChars="200"/>
        <w:rPr>
          <w:rStyle w:val="7"/>
          <w:rFonts w:ascii="仿宋_GB2312" w:hAnsi="仿宋"/>
          <w:b w:val="0"/>
          <w:bCs w:val="0"/>
          <w:color w:val="000000"/>
          <w:spacing w:val="-17"/>
          <w:sz w:val="32"/>
          <w:szCs w:val="32"/>
        </w:rPr>
      </w:pPr>
      <w:r>
        <w:rPr>
          <w:rFonts w:ascii="仿宋_GB2312" w:hAnsi="仿宋_GB2312" w:cs="仿宋_GB2312"/>
          <w:bCs/>
          <w:color w:val="000000"/>
          <w:spacing w:val="-17"/>
          <w:sz w:val="32"/>
          <w:szCs w:val="32"/>
        </w:rPr>
        <w:t>财政部随文下达</w:t>
      </w:r>
      <w:r>
        <w:rPr>
          <w:rFonts w:hint="eastAsia" w:ascii="仿宋_GB2312" w:hAnsi="仿宋_GB2312" w:cs="仿宋_GB2312"/>
          <w:bCs/>
          <w:color w:val="000000"/>
          <w:spacing w:val="-17"/>
          <w:sz w:val="32"/>
          <w:szCs w:val="32"/>
        </w:rPr>
        <w:t>新疆区域绩效目标，具体为</w:t>
      </w:r>
      <w:r>
        <w:rPr>
          <w:rStyle w:val="7"/>
          <w:rFonts w:hint="eastAsia" w:ascii="仿宋_GB2312" w:hAnsi="仿宋"/>
          <w:b w:val="0"/>
          <w:bCs w:val="0"/>
          <w:color w:val="000000"/>
          <w:spacing w:val="-17"/>
          <w:sz w:val="32"/>
          <w:szCs w:val="32"/>
        </w:rPr>
        <w:t>：</w:t>
      </w:r>
    </w:p>
    <w:p>
      <w:pPr>
        <w:spacing w:line="560" w:lineRule="exact"/>
        <w:rPr>
          <w:color w:val="000000"/>
        </w:rPr>
      </w:pPr>
      <w:r>
        <w:rPr>
          <w:color w:val="000000"/>
        </w:rPr>
        <w:drawing>
          <wp:anchor distT="0" distB="0" distL="114300" distR="114300" simplePos="0" relativeHeight="251661312" behindDoc="0" locked="0" layoutInCell="1" allowOverlap="1">
            <wp:simplePos x="0" y="0"/>
            <wp:positionH relativeFrom="column">
              <wp:posOffset>61595</wp:posOffset>
            </wp:positionH>
            <wp:positionV relativeFrom="paragraph">
              <wp:posOffset>210185</wp:posOffset>
            </wp:positionV>
            <wp:extent cx="4942840" cy="5727065"/>
            <wp:effectExtent l="0" t="0" r="10160" b="6985"/>
            <wp:wrapTopAndBottom/>
            <wp:docPr id="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true"/>
                    </pic:cNvPicPr>
                  </pic:nvPicPr>
                  <pic:blipFill>
                    <a:blip r:embed="rId5"/>
                    <a:srcRect t="2500"/>
                    <a:stretch>
                      <a:fillRect/>
                    </a:stretch>
                  </pic:blipFill>
                  <pic:spPr>
                    <a:xfrm>
                      <a:off x="0" y="0"/>
                      <a:ext cx="4942840" cy="5727065"/>
                    </a:xfrm>
                    <a:prstGeom prst="rect">
                      <a:avLst/>
                    </a:prstGeom>
                    <a:noFill/>
                    <a:ln>
                      <a:noFill/>
                    </a:ln>
                  </pic:spPr>
                </pic:pic>
              </a:graphicData>
            </a:graphic>
          </wp:anchor>
        </w:drawing>
      </w:r>
    </w:p>
    <w:p>
      <w:pPr>
        <w:spacing w:line="560" w:lineRule="exact"/>
        <w:rPr>
          <w:rFonts w:ascii="楷体_GB2312" w:hAnsi="仿宋" w:eastAsia="楷体_GB2312"/>
          <w:bCs/>
          <w:color w:val="000000"/>
          <w:sz w:val="32"/>
          <w:szCs w:val="32"/>
        </w:rPr>
      </w:pPr>
      <w:r>
        <w:rPr>
          <w:rFonts w:hint="eastAsia" w:eastAsia="楷体_GB2312"/>
          <w:color w:val="000000"/>
          <w:lang w:val="en-US" w:eastAsia="zh-CN"/>
        </w:rPr>
        <w:t xml:space="preserve">    </w:t>
      </w:r>
      <w:r>
        <w:rPr>
          <w:rFonts w:hint="eastAsia" w:ascii="楷体_GB2312" w:hAnsi="仿宋" w:eastAsia="楷体_GB2312"/>
          <w:bCs/>
          <w:color w:val="000000"/>
          <w:sz w:val="32"/>
          <w:szCs w:val="32"/>
        </w:rPr>
        <w:t>（二）自治区资金安排、分解下达预算和绩效目标情况</w:t>
      </w:r>
    </w:p>
    <w:p>
      <w:pPr>
        <w:spacing w:line="560" w:lineRule="exact"/>
        <w:ind w:firstLine="642" w:firstLineChars="200"/>
        <w:rPr>
          <w:rFonts w:ascii="仿宋_GB2312" w:hAnsi="仿宋"/>
          <w:b/>
          <w:bCs/>
          <w:color w:val="000000"/>
          <w:sz w:val="32"/>
          <w:szCs w:val="32"/>
        </w:rPr>
      </w:pPr>
      <w:r>
        <w:rPr>
          <w:rFonts w:hint="eastAsia" w:ascii="仿宋_GB2312" w:hAnsi="仿宋"/>
          <w:b/>
          <w:bCs/>
          <w:color w:val="000000"/>
          <w:sz w:val="32"/>
          <w:szCs w:val="32"/>
        </w:rPr>
        <w:t>1.自治区分解下达预算情况</w:t>
      </w:r>
    </w:p>
    <w:p>
      <w:pPr>
        <w:spacing w:line="560" w:lineRule="exact"/>
        <w:ind w:firstLine="640" w:firstLineChars="200"/>
        <w:rPr>
          <w:rFonts w:ascii="仿宋_GB2312" w:hAnsi="仿宋"/>
          <w:color w:val="000000"/>
          <w:sz w:val="32"/>
          <w:szCs w:val="32"/>
        </w:rPr>
      </w:pPr>
      <w:r>
        <w:rPr>
          <w:rFonts w:hint="eastAsia" w:ascii="仿宋_GB2312" w:hAnsi="仿宋"/>
          <w:color w:val="000000"/>
          <w:sz w:val="32"/>
          <w:szCs w:val="32"/>
        </w:rPr>
        <w:t>2020年12月，根据自治区财政厅《关于提前下达2021年中央补助地方国家电影事业发展专项资金的通知》（新财教〔2020〕160号），下达2021年第一批中央补助地方国家电影事业发展专项资金131万元，用于支持影院放映国产影片。</w:t>
      </w:r>
    </w:p>
    <w:p>
      <w:pPr>
        <w:spacing w:line="560" w:lineRule="exact"/>
        <w:ind w:firstLine="640"/>
        <w:rPr>
          <w:rFonts w:ascii="仿宋_GB2312" w:hAnsi="仿宋"/>
          <w:color w:val="000000"/>
          <w:sz w:val="32"/>
          <w:szCs w:val="32"/>
        </w:rPr>
      </w:pPr>
      <w:r>
        <w:rPr>
          <w:rFonts w:hint="eastAsia" w:ascii="仿宋_GB2312" w:hAnsi="仿宋"/>
          <w:color w:val="000000"/>
          <w:sz w:val="32"/>
          <w:szCs w:val="32"/>
        </w:rPr>
        <w:t>2021年8月，根据自治区财政厅《关于下达2020年中央补助地方国家电影事业发展专项资金预算的通知》（新财教〔2020〕106号），拨付2020年第二批中央补助地方国家电影事业发展专项资金958万元，用于支持中西部县城数字影院建设、资助放映传承中华文化的国产影片、资助国产电影“走出去”、资助购买农村电影公益性放映版权、少数民族语电影译制工作等。</w:t>
      </w:r>
    </w:p>
    <w:p>
      <w:pPr>
        <w:spacing w:line="560" w:lineRule="exact"/>
        <w:ind w:firstLine="640"/>
        <w:rPr>
          <w:rFonts w:hint="eastAsia" w:ascii="仿宋_GB2312" w:hAnsi="仿宋"/>
          <w:color w:val="000000"/>
          <w:sz w:val="32"/>
          <w:szCs w:val="32"/>
        </w:rPr>
      </w:pPr>
      <w:r>
        <w:rPr>
          <w:rFonts w:hint="eastAsia" w:ascii="仿宋_GB2312" w:hAnsi="仿宋"/>
          <w:color w:val="000000"/>
          <w:sz w:val="32"/>
          <w:szCs w:val="32"/>
        </w:rPr>
        <w:t>2021年自治区财政共下达中央补助地方国家电影事业发展专项资金1089万元，专项资金分解如下：</w:t>
      </w:r>
    </w:p>
    <w:p>
      <w:pPr>
        <w:spacing w:line="560" w:lineRule="exact"/>
        <w:ind w:firstLine="640"/>
        <w:rPr>
          <w:rFonts w:hint="eastAsia" w:ascii="仿宋_GB2312" w:hAnsi="仿宋"/>
          <w:color w:val="000000"/>
          <w:sz w:val="32"/>
          <w:szCs w:val="32"/>
        </w:rPr>
      </w:pPr>
      <w:r>
        <w:rPr>
          <w:rFonts w:hint="eastAsia" w:ascii="仿宋_GB2312" w:hAnsi="仿宋"/>
          <w:color w:val="000000"/>
          <w:sz w:val="32"/>
          <w:szCs w:val="32"/>
        </w:rPr>
        <w:t>（1）</w:t>
      </w:r>
      <w:r>
        <w:rPr>
          <w:rFonts w:hint="eastAsia" w:ascii="仿宋_GB2312" w:hAnsi="仿宋"/>
          <w:color w:val="000000"/>
          <w:sz w:val="32"/>
          <w:szCs w:val="32"/>
          <w:lang w:eastAsia="zh-CN"/>
        </w:rPr>
        <w:t>重点</w:t>
      </w:r>
      <w:r>
        <w:rPr>
          <w:rFonts w:hint="eastAsia" w:ascii="仿宋_GB2312" w:hAnsi="仿宋"/>
          <w:color w:val="000000"/>
          <w:sz w:val="32"/>
          <w:szCs w:val="32"/>
        </w:rPr>
        <w:t>项目资金490万元拨付至新疆广播影视译制中心，用于少数民族语电影译制。</w:t>
      </w:r>
    </w:p>
    <w:p>
      <w:pPr>
        <w:spacing w:line="560" w:lineRule="exact"/>
        <w:ind w:firstLine="640"/>
        <w:rPr>
          <w:rFonts w:hint="eastAsia" w:ascii="仿宋_GB2312" w:hAnsi="仿宋"/>
          <w:color w:val="000000"/>
          <w:sz w:val="32"/>
          <w:szCs w:val="32"/>
        </w:rPr>
      </w:pPr>
      <w:r>
        <w:rPr>
          <w:rFonts w:hint="eastAsia" w:ascii="仿宋_GB2312" w:hAnsi="仿宋"/>
          <w:color w:val="000000"/>
          <w:sz w:val="32"/>
          <w:szCs w:val="32"/>
        </w:rPr>
        <w:t>（2）</w:t>
      </w:r>
      <w:r>
        <w:rPr>
          <w:rFonts w:hint="eastAsia" w:ascii="仿宋_GB2312" w:hAnsi="仿宋"/>
          <w:color w:val="000000"/>
          <w:sz w:val="32"/>
          <w:szCs w:val="32"/>
          <w:lang w:eastAsia="zh-CN"/>
        </w:rPr>
        <w:t>一般</w:t>
      </w:r>
      <w:r>
        <w:rPr>
          <w:rFonts w:hint="eastAsia" w:ascii="仿宋_GB2312" w:hAnsi="仿宋"/>
          <w:color w:val="000000"/>
          <w:sz w:val="32"/>
          <w:szCs w:val="32"/>
        </w:rPr>
        <w:t>项目资金599万元拨付至自治区党委宣传部，用于奖励放映国产影片成绩突出影院、补助中西部县城新建数字影院等工作。</w:t>
      </w:r>
    </w:p>
    <w:p>
      <w:pPr>
        <w:spacing w:line="560" w:lineRule="exact"/>
        <w:ind w:firstLine="640"/>
        <w:rPr>
          <w:rFonts w:ascii="仿宋_GB2312" w:hAnsi="仿宋"/>
          <w:b/>
          <w:bCs/>
          <w:color w:val="000000"/>
          <w:sz w:val="32"/>
          <w:szCs w:val="32"/>
        </w:rPr>
      </w:pPr>
      <w:r>
        <w:rPr>
          <w:rFonts w:hint="eastAsia" w:ascii="仿宋_GB2312" w:hAnsi="仿宋"/>
          <w:b/>
          <w:bCs/>
          <w:color w:val="000000"/>
          <w:sz w:val="32"/>
          <w:szCs w:val="32"/>
        </w:rPr>
        <w:t>2.自治区分解下达绩效目标情况如下</w:t>
      </w:r>
    </w:p>
    <w:p>
      <w:pPr>
        <w:widowControl/>
        <w:jc w:val="left"/>
        <w:rPr>
          <w:rFonts w:ascii="仿宋_GB2312" w:hAnsi="仿宋"/>
          <w:b/>
          <w:bCs/>
          <w:color w:val="000000"/>
          <w:sz w:val="32"/>
          <w:szCs w:val="32"/>
        </w:rPr>
      </w:pPr>
      <w:r>
        <w:rPr>
          <w:rFonts w:ascii="仿宋_GB2312" w:hAnsi="仿宋"/>
          <w:b/>
          <w:bCs/>
          <w:color w:val="000000"/>
          <w:sz w:val="32"/>
          <w:szCs w:val="32"/>
        </w:rPr>
        <w:br w:type="page"/>
      </w:r>
    </w:p>
    <w:tbl>
      <w:tblPr>
        <w:tblStyle w:val="5"/>
        <w:tblW w:w="8874" w:type="dxa"/>
        <w:tblInd w:w="0" w:type="dxa"/>
        <w:tblLayout w:type="fixed"/>
        <w:tblCellMar>
          <w:top w:w="15" w:type="dxa"/>
          <w:left w:w="15" w:type="dxa"/>
          <w:bottom w:w="15" w:type="dxa"/>
          <w:right w:w="15" w:type="dxa"/>
        </w:tblCellMar>
      </w:tblPr>
      <w:tblGrid>
        <w:gridCol w:w="1008"/>
        <w:gridCol w:w="1346"/>
        <w:gridCol w:w="1079"/>
        <w:gridCol w:w="2146"/>
        <w:gridCol w:w="3295"/>
      </w:tblGrid>
      <w:tr>
        <w:tblPrEx>
          <w:tblCellMar>
            <w:top w:w="15" w:type="dxa"/>
            <w:left w:w="15" w:type="dxa"/>
            <w:bottom w:w="15" w:type="dxa"/>
            <w:right w:w="15" w:type="dxa"/>
          </w:tblCellMar>
        </w:tblPrEx>
        <w:trPr>
          <w:trHeight w:val="340" w:hRule="atLeast"/>
        </w:trPr>
        <w:tc>
          <w:tcPr>
            <w:tcW w:w="8874" w:type="dxa"/>
            <w:gridSpan w:val="5"/>
            <w:tcBorders>
              <w:top w:val="nil"/>
              <w:left w:val="nil"/>
              <w:bottom w:val="nil"/>
              <w:right w:val="nil"/>
            </w:tcBorders>
            <w:shd w:val="clear" w:color="auto" w:fill="auto"/>
            <w:vAlign w:val="center"/>
          </w:tcPr>
          <w:p>
            <w:pPr>
              <w:widowControl/>
              <w:spacing w:line="360" w:lineRule="exact"/>
              <w:jc w:val="center"/>
              <w:textAlignment w:val="center"/>
              <w:rPr>
                <w:rFonts w:ascii="仿宋_GB2312" w:hAnsi="宋体" w:cs="仿宋_GB2312"/>
                <w:color w:val="000000"/>
                <w:szCs w:val="30"/>
              </w:rPr>
            </w:pPr>
            <w:r>
              <w:rPr>
                <w:rFonts w:hint="eastAsia" w:ascii="仿宋_GB2312" w:hAnsi="宋体" w:cs="仿宋_GB2312"/>
                <w:color w:val="000000"/>
                <w:kern w:val="0"/>
                <w:szCs w:val="30"/>
                <w:lang w:bidi="ar"/>
              </w:rPr>
              <w:t>中央对地方专项转移支付区域绩效目标申报表</w:t>
            </w:r>
          </w:p>
        </w:tc>
      </w:tr>
      <w:tr>
        <w:tblPrEx>
          <w:tblCellMar>
            <w:top w:w="15" w:type="dxa"/>
            <w:left w:w="15" w:type="dxa"/>
            <w:bottom w:w="15" w:type="dxa"/>
            <w:right w:w="15" w:type="dxa"/>
          </w:tblCellMar>
        </w:tblPrEx>
        <w:trPr>
          <w:trHeight w:val="340" w:hRule="atLeast"/>
        </w:trPr>
        <w:tc>
          <w:tcPr>
            <w:tcW w:w="8874" w:type="dxa"/>
            <w:gridSpan w:val="5"/>
            <w:tcBorders>
              <w:top w:val="nil"/>
              <w:left w:val="nil"/>
              <w:bottom w:val="nil"/>
              <w:right w:val="nil"/>
            </w:tcBorders>
            <w:shd w:val="clear" w:color="auto" w:fill="auto"/>
            <w:vAlign w:val="center"/>
          </w:tcPr>
          <w:p>
            <w:pPr>
              <w:widowControl/>
              <w:spacing w:line="360" w:lineRule="exact"/>
              <w:jc w:val="center"/>
              <w:textAlignment w:val="center"/>
              <w:rPr>
                <w:rFonts w:ascii="仿宋_GB2312" w:hAnsi="宋体" w:cs="仿宋_GB2312"/>
                <w:color w:val="000000"/>
                <w:sz w:val="16"/>
                <w:szCs w:val="16"/>
              </w:rPr>
            </w:pPr>
            <w:r>
              <w:rPr>
                <w:rFonts w:hint="eastAsia" w:ascii="仿宋_GB2312" w:hAnsi="宋体" w:cs="仿宋_GB2312"/>
                <w:color w:val="000000"/>
                <w:kern w:val="0"/>
                <w:sz w:val="16"/>
                <w:szCs w:val="16"/>
                <w:lang w:bidi="ar"/>
              </w:rPr>
              <w:t>（</w:t>
            </w:r>
            <w:r>
              <w:rPr>
                <w:rFonts w:hint="eastAsia" w:ascii="宋体" w:hAnsi="宋体" w:eastAsia="宋体" w:cs="宋体"/>
                <w:color w:val="000000"/>
                <w:kern w:val="0"/>
                <w:sz w:val="16"/>
                <w:szCs w:val="16"/>
                <w:lang w:bidi="ar"/>
              </w:rPr>
              <w:t>2021</w:t>
            </w:r>
            <w:r>
              <w:rPr>
                <w:rFonts w:hint="eastAsia" w:ascii="仿宋_GB2312" w:hAnsi="宋体" w:cs="仿宋_GB2312"/>
                <w:color w:val="000000"/>
                <w:kern w:val="0"/>
                <w:sz w:val="16"/>
                <w:szCs w:val="16"/>
                <w:lang w:bidi="ar"/>
              </w:rPr>
              <w:t>年度）</w:t>
            </w:r>
          </w:p>
        </w:tc>
      </w:tr>
      <w:tr>
        <w:tblPrEx>
          <w:tblCellMar>
            <w:top w:w="15" w:type="dxa"/>
            <w:left w:w="15" w:type="dxa"/>
            <w:bottom w:w="15" w:type="dxa"/>
            <w:right w:w="15" w:type="dxa"/>
          </w:tblCellMar>
        </w:tblPrEx>
        <w:trPr>
          <w:trHeight w:val="340" w:hRule="atLeast"/>
        </w:trPr>
        <w:tc>
          <w:tcPr>
            <w:tcW w:w="8874" w:type="dxa"/>
            <w:gridSpan w:val="5"/>
            <w:tcBorders>
              <w:top w:val="nil"/>
              <w:left w:val="nil"/>
              <w:bottom w:val="single" w:color="auto" w:sz="4" w:space="0"/>
              <w:right w:val="nil"/>
            </w:tcBorders>
            <w:shd w:val="clear" w:color="auto" w:fill="auto"/>
            <w:vAlign w:val="center"/>
          </w:tcPr>
          <w:p>
            <w:pPr>
              <w:widowControl/>
              <w:spacing w:line="360" w:lineRule="exact"/>
              <w:jc w:val="left"/>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填报单位：新疆广播影视译制中心</w:t>
            </w:r>
          </w:p>
        </w:tc>
      </w:tr>
      <w:tr>
        <w:tblPrEx>
          <w:tblCellMar>
            <w:top w:w="15" w:type="dxa"/>
            <w:left w:w="15" w:type="dxa"/>
            <w:bottom w:w="15" w:type="dxa"/>
            <w:right w:w="15" w:type="dxa"/>
          </w:tblCellMar>
        </w:tblPrEx>
        <w:trPr>
          <w:trHeight w:val="340" w:hRule="atLeast"/>
        </w:trPr>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项目名称</w:t>
            </w:r>
          </w:p>
        </w:tc>
        <w:tc>
          <w:tcPr>
            <w:tcW w:w="786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中央补助地方国家电影事业发展专项资金</w:t>
            </w:r>
          </w:p>
        </w:tc>
      </w:tr>
      <w:tr>
        <w:tblPrEx>
          <w:tblCellMar>
            <w:top w:w="15" w:type="dxa"/>
            <w:left w:w="15" w:type="dxa"/>
            <w:bottom w:w="15" w:type="dxa"/>
            <w:right w:w="15" w:type="dxa"/>
          </w:tblCellMar>
        </w:tblPrEx>
        <w:trPr>
          <w:trHeight w:val="340" w:hRule="atLeast"/>
        </w:trPr>
        <w:tc>
          <w:tcPr>
            <w:tcW w:w="100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主管部门及代码</w:t>
            </w:r>
          </w:p>
        </w:tc>
        <w:tc>
          <w:tcPr>
            <w:tcW w:w="242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[117]中共新疆维吾尔自治区委员会宣传部</w:t>
            </w:r>
          </w:p>
        </w:tc>
        <w:tc>
          <w:tcPr>
            <w:tcW w:w="2146"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实施单位</w:t>
            </w:r>
          </w:p>
        </w:tc>
        <w:tc>
          <w:tcPr>
            <w:tcW w:w="329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新疆广播影视译制中心</w:t>
            </w:r>
          </w:p>
        </w:tc>
      </w:tr>
      <w:tr>
        <w:tblPrEx>
          <w:tblCellMar>
            <w:top w:w="15" w:type="dxa"/>
            <w:left w:w="15" w:type="dxa"/>
            <w:bottom w:w="15" w:type="dxa"/>
            <w:right w:w="15" w:type="dxa"/>
          </w:tblCellMar>
        </w:tblPrEx>
        <w:trPr>
          <w:trHeight w:val="340" w:hRule="atLeast"/>
        </w:trPr>
        <w:tc>
          <w:tcPr>
            <w:tcW w:w="1008" w:type="dxa"/>
            <w:vMerge w:val="restart"/>
            <w:tcBorders>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项目资金（万元）</w:t>
            </w:r>
          </w:p>
        </w:tc>
        <w:tc>
          <w:tcPr>
            <w:tcW w:w="24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资金总额（单位：万元）</w:t>
            </w:r>
          </w:p>
        </w:tc>
        <w:tc>
          <w:tcPr>
            <w:tcW w:w="5441" w:type="dxa"/>
            <w:gridSpan w:val="2"/>
            <w:tcBorders>
              <w:top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490</w:t>
            </w:r>
          </w:p>
        </w:tc>
      </w:tr>
      <w:tr>
        <w:tblPrEx>
          <w:tblCellMar>
            <w:top w:w="15" w:type="dxa"/>
            <w:left w:w="15" w:type="dxa"/>
            <w:bottom w:w="15" w:type="dxa"/>
            <w:right w:w="15" w:type="dxa"/>
          </w:tblCellMar>
        </w:tblPrEx>
        <w:trPr>
          <w:trHeight w:val="340" w:hRule="atLeast"/>
        </w:trPr>
        <w:tc>
          <w:tcPr>
            <w:tcW w:w="1008"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ascii="仿宋_GB2312" w:hAnsi="宋体" w:cs="仿宋_GB2312"/>
                <w:color w:val="000000"/>
                <w:sz w:val="20"/>
                <w:szCs w:val="20"/>
              </w:rPr>
            </w:pPr>
          </w:p>
        </w:tc>
        <w:tc>
          <w:tcPr>
            <w:tcW w:w="24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其中：财政拨款</w:t>
            </w:r>
          </w:p>
        </w:tc>
        <w:tc>
          <w:tcPr>
            <w:tcW w:w="5441" w:type="dxa"/>
            <w:gridSpan w:val="2"/>
            <w:tcBorders>
              <w:top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490</w:t>
            </w:r>
          </w:p>
        </w:tc>
      </w:tr>
      <w:tr>
        <w:tblPrEx>
          <w:tblCellMar>
            <w:top w:w="15" w:type="dxa"/>
            <w:left w:w="15" w:type="dxa"/>
            <w:bottom w:w="15" w:type="dxa"/>
            <w:right w:w="15" w:type="dxa"/>
          </w:tblCellMar>
        </w:tblPrEx>
        <w:trPr>
          <w:trHeight w:val="340" w:hRule="atLeast"/>
        </w:trPr>
        <w:tc>
          <w:tcPr>
            <w:tcW w:w="1008"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ascii="仿宋_GB2312" w:hAnsi="宋体" w:cs="仿宋_GB2312"/>
                <w:color w:val="000000"/>
                <w:sz w:val="20"/>
                <w:szCs w:val="20"/>
              </w:rPr>
            </w:pPr>
          </w:p>
        </w:tc>
        <w:tc>
          <w:tcPr>
            <w:tcW w:w="24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 xml:space="preserve">      其他资金</w:t>
            </w:r>
          </w:p>
        </w:tc>
        <w:tc>
          <w:tcPr>
            <w:tcW w:w="5441" w:type="dxa"/>
            <w:gridSpan w:val="2"/>
            <w:tcBorders>
              <w:top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w:t>
            </w:r>
          </w:p>
        </w:tc>
      </w:tr>
      <w:tr>
        <w:tblPrEx>
          <w:tblCellMar>
            <w:top w:w="15" w:type="dxa"/>
            <w:left w:w="15" w:type="dxa"/>
            <w:bottom w:w="15" w:type="dxa"/>
            <w:right w:w="15" w:type="dxa"/>
          </w:tblCellMar>
        </w:tblPrEx>
        <w:trPr>
          <w:trHeight w:val="340" w:hRule="atLeast"/>
        </w:trPr>
        <w:tc>
          <w:tcPr>
            <w:tcW w:w="10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总体目标</w:t>
            </w:r>
          </w:p>
        </w:tc>
        <w:tc>
          <w:tcPr>
            <w:tcW w:w="786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年度目标</w:t>
            </w: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786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 xml:space="preserve">  提升少数民族语电影译制能力，推动影院建设和先进技术应用推广，鼓励引导文化特色、艺术影片发行和放映，促进国产影片票房增长，推动新疆事业持续发展。</w:t>
            </w:r>
          </w:p>
        </w:tc>
      </w:tr>
      <w:tr>
        <w:tblPrEx>
          <w:tblCellMar>
            <w:top w:w="15" w:type="dxa"/>
            <w:left w:w="15" w:type="dxa"/>
            <w:bottom w:w="15" w:type="dxa"/>
            <w:right w:w="15" w:type="dxa"/>
          </w:tblCellMar>
        </w:tblPrEx>
        <w:trPr>
          <w:trHeight w:val="340" w:hRule="atLeast"/>
        </w:trPr>
        <w:tc>
          <w:tcPr>
            <w:tcW w:w="10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绩效指标</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一级指标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二级指标</w:t>
            </w: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三级指标</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指标值</w:t>
            </w: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产出指标</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数量指标</w:t>
            </w: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补助中西部地区县城新建数字影院数量</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0家</w:t>
            </w: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放映国产影片影院数量</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≥0家</w:t>
            </w: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18"/>
                <w:szCs w:val="18"/>
                <w:lang w:bidi="ar"/>
              </w:rPr>
              <w:t>少数民族语影片译制部数</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70部</w:t>
            </w: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质量指标</w:t>
            </w: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县城影院覆盖率</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w:t>
            </w: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16"/>
                <w:szCs w:val="16"/>
                <w:lang w:bidi="ar"/>
              </w:rPr>
              <w:t>少数民族语影片译制合格率</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100%</w:t>
            </w: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成本指标</w:t>
            </w: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补助中西部地区县城新建数字影院单厅金额</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≤0万/厅</w:t>
            </w: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18"/>
                <w:szCs w:val="18"/>
                <w:lang w:bidi="ar"/>
              </w:rPr>
              <w:t>少数民族语影片译制补助</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≤7万/部</w:t>
            </w:r>
          </w:p>
        </w:tc>
      </w:tr>
      <w:tr>
        <w:tblPrEx>
          <w:tblCellMar>
            <w:top w:w="15" w:type="dxa"/>
            <w:left w:w="15" w:type="dxa"/>
            <w:bottom w:w="15" w:type="dxa"/>
            <w:right w:w="15" w:type="dxa"/>
          </w:tblCellMar>
        </w:tblPrEx>
        <w:trPr>
          <w:trHeight w:val="408"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效益指标</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经济效益指标</w:t>
            </w:r>
          </w:p>
        </w:tc>
        <w:tc>
          <w:tcPr>
            <w:tcW w:w="21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国产影片票房收入占总票房收入比</w:t>
            </w:r>
          </w:p>
        </w:tc>
        <w:tc>
          <w:tcPr>
            <w:tcW w:w="3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w:t>
            </w:r>
          </w:p>
        </w:tc>
      </w:tr>
      <w:tr>
        <w:tblPrEx>
          <w:tblCellMar>
            <w:top w:w="15" w:type="dxa"/>
            <w:left w:w="15" w:type="dxa"/>
            <w:bottom w:w="15" w:type="dxa"/>
            <w:right w:w="15" w:type="dxa"/>
          </w:tblCellMar>
        </w:tblPrEx>
        <w:trPr>
          <w:trHeight w:val="408"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2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社会效益指标</w:t>
            </w: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国产影片观影人次增长</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w:t>
            </w:r>
          </w:p>
        </w:tc>
      </w:tr>
      <w:tr>
        <w:tblPrEx>
          <w:tblCellMar>
            <w:top w:w="15" w:type="dxa"/>
            <w:left w:w="15" w:type="dxa"/>
            <w:bottom w:w="15" w:type="dxa"/>
            <w:right w:w="15" w:type="dxa"/>
          </w:tblCellMar>
        </w:tblPrEx>
        <w:trPr>
          <w:trHeight w:val="34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仿宋_GB2312" w:hAnsi="宋体" w:cs="仿宋_GB2312"/>
                <w:color w:val="000000"/>
                <w:sz w:val="20"/>
                <w:szCs w:val="20"/>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满意度指标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服务对象满意度指标</w:t>
            </w:r>
          </w:p>
        </w:tc>
        <w:tc>
          <w:tcPr>
            <w:tcW w:w="2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观众对影院的满意度</w:t>
            </w:r>
          </w:p>
        </w:tc>
        <w:tc>
          <w:tcPr>
            <w:tcW w:w="3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仿宋_GB2312" w:hAnsi="宋体" w:eastAsia="仿宋_GB2312" w:cs="仿宋_GB2312"/>
                <w:color w:val="000000"/>
                <w:sz w:val="20"/>
                <w:szCs w:val="20"/>
                <w:lang w:eastAsia="zh-CN"/>
              </w:rPr>
            </w:pPr>
            <w:r>
              <w:rPr>
                <w:rFonts w:hint="eastAsia" w:ascii="仿宋_GB2312" w:hAnsi="宋体" w:cs="仿宋_GB2312"/>
                <w:color w:val="000000"/>
                <w:kern w:val="0"/>
                <w:sz w:val="20"/>
                <w:szCs w:val="20"/>
                <w:lang w:val="en-US" w:eastAsia="zh-CN" w:bidi="ar"/>
              </w:rPr>
              <w:t>0分</w:t>
            </w:r>
          </w:p>
        </w:tc>
      </w:tr>
    </w:tbl>
    <w:p>
      <w:pPr>
        <w:spacing w:line="560" w:lineRule="exact"/>
        <w:ind w:firstLine="640" w:firstLineChars="200"/>
        <w:rPr>
          <w:rFonts w:ascii="仿宋_GB2312" w:hAnsi="仿宋"/>
          <w:color w:val="000000"/>
          <w:sz w:val="32"/>
          <w:szCs w:val="32"/>
        </w:rPr>
        <w:sectPr>
          <w:footerReference r:id="rId3" w:type="default"/>
          <w:pgSz w:w="11906" w:h="16838"/>
          <w:pgMar w:top="1871" w:right="1531" w:bottom="1644" w:left="1531" w:header="851" w:footer="992" w:gutter="0"/>
          <w:pgNumType w:fmt="numberInDash" w:start="1"/>
          <w:cols w:space="720" w:num="1"/>
          <w:docGrid w:type="lines" w:linePitch="408" w:charSpace="0"/>
        </w:sectPr>
      </w:pPr>
    </w:p>
    <w:tbl>
      <w:tblPr>
        <w:tblStyle w:val="5"/>
        <w:tblW w:w="8874" w:type="dxa"/>
        <w:tblInd w:w="0" w:type="dxa"/>
        <w:tblLayout w:type="fixed"/>
        <w:tblCellMar>
          <w:top w:w="15" w:type="dxa"/>
          <w:left w:w="15" w:type="dxa"/>
          <w:bottom w:w="15" w:type="dxa"/>
          <w:right w:w="15" w:type="dxa"/>
        </w:tblCellMar>
      </w:tblPr>
      <w:tblGrid>
        <w:gridCol w:w="1232"/>
        <w:gridCol w:w="1094"/>
        <w:gridCol w:w="1198"/>
        <w:gridCol w:w="2458"/>
        <w:gridCol w:w="2892"/>
      </w:tblGrid>
      <w:tr>
        <w:tblPrEx>
          <w:tblCellMar>
            <w:top w:w="15" w:type="dxa"/>
            <w:left w:w="15" w:type="dxa"/>
            <w:bottom w:w="15" w:type="dxa"/>
            <w:right w:w="15" w:type="dxa"/>
          </w:tblCellMar>
        </w:tblPrEx>
        <w:trPr>
          <w:trHeight w:val="340" w:hRule="atLeast"/>
        </w:trPr>
        <w:tc>
          <w:tcPr>
            <w:tcW w:w="8874" w:type="dxa"/>
            <w:gridSpan w:val="5"/>
            <w:shd w:val="clear" w:color="auto" w:fill="auto"/>
            <w:vAlign w:val="center"/>
          </w:tcPr>
          <w:p>
            <w:pPr>
              <w:widowControl/>
              <w:spacing w:line="320" w:lineRule="exact"/>
              <w:jc w:val="center"/>
              <w:textAlignment w:val="center"/>
              <w:rPr>
                <w:rFonts w:ascii="仿宋_GB2312" w:hAnsi="宋体" w:cs="仿宋_GB2312"/>
                <w:color w:val="000000"/>
                <w:szCs w:val="30"/>
              </w:rPr>
            </w:pPr>
            <w:r>
              <w:rPr>
                <w:rFonts w:hint="eastAsia" w:ascii="仿宋_GB2312" w:hAnsi="宋体" w:cs="仿宋_GB2312"/>
                <w:color w:val="000000"/>
                <w:kern w:val="0"/>
                <w:szCs w:val="30"/>
                <w:lang w:bidi="ar"/>
              </w:rPr>
              <w:t>中央对地方专项转移支付区域绩效目标申报表</w:t>
            </w:r>
          </w:p>
        </w:tc>
      </w:tr>
      <w:tr>
        <w:tblPrEx>
          <w:tblCellMar>
            <w:top w:w="15" w:type="dxa"/>
            <w:left w:w="15" w:type="dxa"/>
            <w:bottom w:w="15" w:type="dxa"/>
            <w:right w:w="15" w:type="dxa"/>
          </w:tblCellMar>
        </w:tblPrEx>
        <w:trPr>
          <w:trHeight w:val="340" w:hRule="atLeast"/>
        </w:trPr>
        <w:tc>
          <w:tcPr>
            <w:tcW w:w="8874" w:type="dxa"/>
            <w:gridSpan w:val="5"/>
            <w:shd w:val="clear" w:color="auto" w:fill="auto"/>
            <w:vAlign w:val="center"/>
          </w:tcPr>
          <w:p>
            <w:pPr>
              <w:widowControl/>
              <w:spacing w:line="320" w:lineRule="exact"/>
              <w:jc w:val="center"/>
              <w:textAlignment w:val="center"/>
              <w:rPr>
                <w:rFonts w:ascii="仿宋_GB2312" w:hAnsi="宋体" w:cs="仿宋_GB2312"/>
                <w:color w:val="000000"/>
                <w:sz w:val="16"/>
                <w:szCs w:val="16"/>
              </w:rPr>
            </w:pPr>
            <w:r>
              <w:rPr>
                <w:rFonts w:hint="eastAsia" w:ascii="仿宋_GB2312" w:hAnsi="宋体" w:cs="仿宋_GB2312"/>
                <w:color w:val="000000"/>
                <w:kern w:val="0"/>
                <w:sz w:val="16"/>
                <w:szCs w:val="16"/>
                <w:lang w:bidi="ar"/>
              </w:rPr>
              <w:t>（</w:t>
            </w:r>
            <w:r>
              <w:rPr>
                <w:rFonts w:hint="eastAsia" w:ascii="宋体" w:hAnsi="宋体" w:eastAsia="宋体" w:cs="宋体"/>
                <w:color w:val="000000"/>
                <w:kern w:val="0"/>
                <w:sz w:val="16"/>
                <w:szCs w:val="16"/>
                <w:lang w:bidi="ar"/>
              </w:rPr>
              <w:t>2021</w:t>
            </w:r>
            <w:r>
              <w:rPr>
                <w:rFonts w:hint="eastAsia" w:ascii="仿宋_GB2312" w:hAnsi="宋体" w:cs="仿宋_GB2312"/>
                <w:color w:val="000000"/>
                <w:kern w:val="0"/>
                <w:sz w:val="16"/>
                <w:szCs w:val="16"/>
                <w:lang w:bidi="ar"/>
              </w:rPr>
              <w:t>年度）</w:t>
            </w:r>
          </w:p>
        </w:tc>
      </w:tr>
      <w:tr>
        <w:tblPrEx>
          <w:tblCellMar>
            <w:top w:w="15" w:type="dxa"/>
            <w:left w:w="15" w:type="dxa"/>
            <w:bottom w:w="15" w:type="dxa"/>
            <w:right w:w="15" w:type="dxa"/>
          </w:tblCellMar>
        </w:tblPrEx>
        <w:trPr>
          <w:trHeight w:val="340" w:hRule="atLeast"/>
        </w:trPr>
        <w:tc>
          <w:tcPr>
            <w:tcW w:w="8874" w:type="dxa"/>
            <w:gridSpan w:val="5"/>
            <w:tcBorders>
              <w:bottom w:val="single" w:color="auto" w:sz="4" w:space="0"/>
            </w:tcBorders>
            <w:shd w:val="clear" w:color="auto" w:fill="auto"/>
            <w:vAlign w:val="center"/>
          </w:tcPr>
          <w:p>
            <w:pPr>
              <w:widowControl/>
              <w:spacing w:line="320" w:lineRule="exact"/>
              <w:jc w:val="left"/>
              <w:textAlignment w:val="center"/>
              <w:rPr>
                <w:rFonts w:ascii="仿宋_GB2312" w:hAnsi="宋体" w:cs="仿宋_GB2312"/>
                <w:color w:val="000000"/>
                <w:sz w:val="16"/>
                <w:szCs w:val="16"/>
              </w:rPr>
            </w:pPr>
            <w:r>
              <w:rPr>
                <w:rFonts w:hint="eastAsia" w:ascii="仿宋_GB2312" w:hAnsi="宋体" w:cs="仿宋_GB2312"/>
                <w:color w:val="000000"/>
                <w:kern w:val="0"/>
                <w:sz w:val="16"/>
                <w:szCs w:val="16"/>
                <w:lang w:bidi="ar"/>
              </w:rPr>
              <w:t>填报单位：中共新疆维吾尔自治区委员会宣传部</w:t>
            </w:r>
          </w:p>
        </w:tc>
      </w:tr>
      <w:tr>
        <w:tblPrEx>
          <w:tblCellMar>
            <w:top w:w="15" w:type="dxa"/>
            <w:left w:w="15" w:type="dxa"/>
            <w:bottom w:w="15" w:type="dxa"/>
            <w:right w:w="15" w:type="dxa"/>
          </w:tblCellMar>
        </w:tblPrEx>
        <w:trPr>
          <w:trHeight w:val="340" w:hRule="atLeast"/>
        </w:trPr>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项目名称</w:t>
            </w:r>
          </w:p>
        </w:tc>
        <w:tc>
          <w:tcPr>
            <w:tcW w:w="764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中央补助地方国家电影事业发展专项资金</w:t>
            </w:r>
          </w:p>
        </w:tc>
      </w:tr>
      <w:tr>
        <w:tblPrEx>
          <w:tblCellMar>
            <w:top w:w="15" w:type="dxa"/>
            <w:left w:w="15" w:type="dxa"/>
            <w:bottom w:w="15" w:type="dxa"/>
            <w:right w:w="15" w:type="dxa"/>
          </w:tblCellMar>
        </w:tblPrEx>
        <w:trPr>
          <w:trHeight w:val="340" w:hRule="atLeast"/>
        </w:trPr>
        <w:tc>
          <w:tcPr>
            <w:tcW w:w="123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主管部门及代码</w:t>
            </w:r>
          </w:p>
        </w:tc>
        <w:tc>
          <w:tcPr>
            <w:tcW w:w="229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[117]中共新疆维吾尔自治区委员会宣传部</w:t>
            </w:r>
          </w:p>
        </w:tc>
        <w:tc>
          <w:tcPr>
            <w:tcW w:w="245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实施单位</w:t>
            </w:r>
          </w:p>
        </w:tc>
        <w:tc>
          <w:tcPr>
            <w:tcW w:w="289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中共新疆维吾尔自治区委员会宣传部</w:t>
            </w:r>
          </w:p>
        </w:tc>
      </w:tr>
      <w:tr>
        <w:tblPrEx>
          <w:tblCellMar>
            <w:top w:w="15" w:type="dxa"/>
            <w:left w:w="15" w:type="dxa"/>
            <w:bottom w:w="15" w:type="dxa"/>
            <w:right w:w="15" w:type="dxa"/>
          </w:tblCellMar>
        </w:tblPrEx>
        <w:trPr>
          <w:trHeight w:val="340" w:hRule="atLeast"/>
        </w:trPr>
        <w:tc>
          <w:tcPr>
            <w:tcW w:w="1232" w:type="dxa"/>
            <w:vMerge w:val="restart"/>
            <w:tcBorders>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项目资金（万元）</w:t>
            </w:r>
          </w:p>
        </w:tc>
        <w:tc>
          <w:tcPr>
            <w:tcW w:w="22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资金总额（单位：万元）</w:t>
            </w:r>
          </w:p>
        </w:tc>
        <w:tc>
          <w:tcPr>
            <w:tcW w:w="5350" w:type="dxa"/>
            <w:gridSpan w:val="2"/>
            <w:tcBorders>
              <w:top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599</w:t>
            </w:r>
          </w:p>
        </w:tc>
      </w:tr>
      <w:tr>
        <w:tblPrEx>
          <w:tblCellMar>
            <w:top w:w="15" w:type="dxa"/>
            <w:left w:w="15" w:type="dxa"/>
            <w:bottom w:w="15" w:type="dxa"/>
            <w:right w:w="15" w:type="dxa"/>
          </w:tblCellMar>
        </w:tblPrEx>
        <w:trPr>
          <w:trHeight w:val="340" w:hRule="atLeast"/>
        </w:trPr>
        <w:tc>
          <w:tcPr>
            <w:tcW w:w="1232" w:type="dxa"/>
            <w:vMerge w:val="continue"/>
            <w:tcBorders>
              <w:left w:val="single" w:color="000000" w:sz="4" w:space="0"/>
              <w:bottom w:val="single" w:color="000000" w:sz="4" w:space="0"/>
              <w:right w:val="single" w:color="000000" w:sz="4" w:space="0"/>
            </w:tcBorders>
            <w:shd w:val="clear" w:color="auto" w:fill="auto"/>
            <w:vAlign w:val="center"/>
          </w:tcPr>
          <w:p>
            <w:pPr>
              <w:spacing w:line="320" w:lineRule="exact"/>
              <w:rPr>
                <w:rFonts w:ascii="仿宋_GB2312" w:hAnsi="宋体" w:cs="仿宋_GB2312"/>
                <w:color w:val="000000"/>
                <w:sz w:val="20"/>
                <w:szCs w:val="20"/>
              </w:rPr>
            </w:pPr>
          </w:p>
        </w:tc>
        <w:tc>
          <w:tcPr>
            <w:tcW w:w="22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其中：财政拨款</w:t>
            </w:r>
          </w:p>
        </w:tc>
        <w:tc>
          <w:tcPr>
            <w:tcW w:w="5350" w:type="dxa"/>
            <w:gridSpan w:val="2"/>
            <w:tcBorders>
              <w:top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599</w:t>
            </w:r>
          </w:p>
        </w:tc>
      </w:tr>
      <w:tr>
        <w:tblPrEx>
          <w:tblCellMar>
            <w:top w:w="15" w:type="dxa"/>
            <w:left w:w="15" w:type="dxa"/>
            <w:bottom w:w="15" w:type="dxa"/>
            <w:right w:w="15" w:type="dxa"/>
          </w:tblCellMar>
        </w:tblPrEx>
        <w:trPr>
          <w:trHeight w:val="340" w:hRule="atLeast"/>
        </w:trPr>
        <w:tc>
          <w:tcPr>
            <w:tcW w:w="1232" w:type="dxa"/>
            <w:vMerge w:val="continue"/>
            <w:tcBorders>
              <w:left w:val="single" w:color="000000" w:sz="4" w:space="0"/>
              <w:bottom w:val="single" w:color="000000" w:sz="4" w:space="0"/>
              <w:right w:val="single" w:color="000000" w:sz="4" w:space="0"/>
            </w:tcBorders>
            <w:shd w:val="clear" w:color="auto" w:fill="auto"/>
            <w:vAlign w:val="center"/>
          </w:tcPr>
          <w:p>
            <w:pPr>
              <w:spacing w:line="320" w:lineRule="exact"/>
              <w:rPr>
                <w:rFonts w:ascii="仿宋_GB2312" w:hAnsi="宋体" w:cs="仿宋_GB2312"/>
                <w:color w:val="000000"/>
                <w:sz w:val="20"/>
                <w:szCs w:val="20"/>
              </w:rPr>
            </w:pPr>
          </w:p>
        </w:tc>
        <w:tc>
          <w:tcPr>
            <w:tcW w:w="22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 xml:space="preserve">      </w:t>
            </w:r>
            <w:r>
              <w:rPr>
                <w:rFonts w:hint="eastAsia" w:ascii="宋体" w:hAnsi="宋体" w:eastAsia="宋体" w:cs="宋体"/>
                <w:color w:val="000000"/>
                <w:kern w:val="0"/>
                <w:sz w:val="20"/>
                <w:szCs w:val="20"/>
                <w:lang w:bidi="ar"/>
              </w:rPr>
              <w:t>其他资金</w:t>
            </w:r>
          </w:p>
        </w:tc>
        <w:tc>
          <w:tcPr>
            <w:tcW w:w="5350" w:type="dxa"/>
            <w:gridSpan w:val="2"/>
            <w:tcBorders>
              <w:top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r>
      <w:tr>
        <w:tblPrEx>
          <w:tblCellMar>
            <w:top w:w="15" w:type="dxa"/>
            <w:left w:w="15" w:type="dxa"/>
            <w:bottom w:w="15" w:type="dxa"/>
            <w:right w:w="15" w:type="dxa"/>
          </w:tblCellMar>
        </w:tblPrEx>
        <w:trPr>
          <w:trHeight w:val="340" w:hRule="atLeast"/>
        </w:trPr>
        <w:tc>
          <w:tcPr>
            <w:tcW w:w="12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总体目标</w:t>
            </w:r>
          </w:p>
        </w:tc>
        <w:tc>
          <w:tcPr>
            <w:tcW w:w="764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年度目标</w:t>
            </w: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764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提升少数民族语电影译制能力，推动影院建设和先进技术应用推广，鼓励引导文化特色、艺术影片发行和放映，促进国产影片票房增长，推动新疆事业持续发展。</w:t>
            </w:r>
          </w:p>
        </w:tc>
      </w:tr>
      <w:tr>
        <w:tblPrEx>
          <w:tblCellMar>
            <w:top w:w="15" w:type="dxa"/>
            <w:left w:w="15" w:type="dxa"/>
            <w:bottom w:w="15" w:type="dxa"/>
            <w:right w:w="15" w:type="dxa"/>
          </w:tblCellMar>
        </w:tblPrEx>
        <w:trPr>
          <w:trHeight w:val="340" w:hRule="atLeast"/>
        </w:trPr>
        <w:tc>
          <w:tcPr>
            <w:tcW w:w="12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绩效指标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三级指标</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指标值</w:t>
            </w: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产出指标</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补助中西部地区县城新建数字影院数量</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ascii="仿宋_GB2312" w:hAnsi="宋体" w:cs="仿宋_GB2312"/>
                <w:color w:val="000000"/>
                <w:kern w:val="0"/>
                <w:sz w:val="20"/>
                <w:szCs w:val="20"/>
                <w:lang w:bidi="ar"/>
              </w:rPr>
              <w:t>13</w:t>
            </w:r>
            <w:r>
              <w:rPr>
                <w:rFonts w:hint="eastAsia" w:ascii="宋体" w:hAnsi="宋体" w:eastAsia="宋体" w:cs="宋体"/>
                <w:color w:val="000000"/>
                <w:kern w:val="0"/>
                <w:sz w:val="20"/>
                <w:szCs w:val="20"/>
                <w:lang w:bidi="ar"/>
              </w:rPr>
              <w:t>家</w:t>
            </w: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放映国产影片影院数量</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w:t>
            </w:r>
            <w:r>
              <w:rPr>
                <w:rFonts w:hint="eastAsia" w:ascii="宋体" w:hAnsi="宋体" w:eastAsia="宋体" w:cs="宋体"/>
                <w:color w:val="000000"/>
                <w:kern w:val="0"/>
                <w:sz w:val="20"/>
                <w:szCs w:val="20"/>
                <w:lang w:bidi="ar"/>
              </w:rPr>
              <w:t>175家</w:t>
            </w: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少数民族语影片译制部数</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w:t>
            </w:r>
            <w:r>
              <w:rPr>
                <w:rFonts w:hint="eastAsia" w:ascii="宋体" w:hAnsi="宋体" w:eastAsia="宋体" w:cs="宋体"/>
                <w:color w:val="000000"/>
                <w:kern w:val="0"/>
                <w:sz w:val="20"/>
                <w:szCs w:val="20"/>
                <w:lang w:bidi="ar"/>
              </w:rPr>
              <w:t>部</w:t>
            </w: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县城影院覆盖率</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w:t>
            </w:r>
            <w:r>
              <w:rPr>
                <w:rFonts w:hint="eastAsia" w:ascii="宋体" w:hAnsi="宋体" w:eastAsia="宋体" w:cs="宋体"/>
                <w:color w:val="000000"/>
                <w:kern w:val="0"/>
                <w:sz w:val="20"/>
                <w:szCs w:val="20"/>
                <w:lang w:bidi="ar"/>
              </w:rPr>
              <w:t>90%</w:t>
            </w: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少数民族语影片译制合格率</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w:t>
            </w: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补助中西部地区县城新建数字影院单厅金额</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w:t>
            </w:r>
            <w:r>
              <w:rPr>
                <w:rFonts w:hint="eastAsia" w:ascii="宋体" w:hAnsi="宋体" w:eastAsia="宋体" w:cs="宋体"/>
                <w:color w:val="000000"/>
                <w:kern w:val="0"/>
                <w:sz w:val="20"/>
                <w:szCs w:val="20"/>
                <w:lang w:bidi="ar"/>
              </w:rPr>
              <w:t>10万/厅</w:t>
            </w: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少数民族语影片译制补助</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≤0</w:t>
            </w:r>
            <w:r>
              <w:rPr>
                <w:rFonts w:hint="eastAsia" w:ascii="宋体" w:hAnsi="宋体" w:eastAsia="宋体" w:cs="宋体"/>
                <w:color w:val="000000"/>
                <w:kern w:val="0"/>
                <w:sz w:val="20"/>
                <w:szCs w:val="20"/>
                <w:lang w:bidi="ar"/>
              </w:rPr>
              <w:t>万/部</w:t>
            </w:r>
          </w:p>
        </w:tc>
      </w:tr>
      <w:tr>
        <w:tblPrEx>
          <w:tblCellMar>
            <w:top w:w="15" w:type="dxa"/>
            <w:left w:w="15" w:type="dxa"/>
            <w:bottom w:w="15" w:type="dxa"/>
            <w:right w:w="15" w:type="dxa"/>
          </w:tblCellMar>
        </w:tblPrEx>
        <w:trPr>
          <w:trHeight w:val="408"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效益指标</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经济效益指标</w:t>
            </w:r>
          </w:p>
        </w:tc>
        <w:tc>
          <w:tcPr>
            <w:tcW w:w="2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国产影片票房收入占总票房收入比</w:t>
            </w:r>
          </w:p>
        </w:tc>
        <w:tc>
          <w:tcPr>
            <w:tcW w:w="28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≥55%</w:t>
            </w:r>
          </w:p>
        </w:tc>
      </w:tr>
      <w:tr>
        <w:tblPrEx>
          <w:tblCellMar>
            <w:top w:w="15" w:type="dxa"/>
            <w:left w:w="15" w:type="dxa"/>
            <w:bottom w:w="15" w:type="dxa"/>
            <w:right w:w="15" w:type="dxa"/>
          </w:tblCellMar>
        </w:tblPrEx>
        <w:trPr>
          <w:trHeight w:val="408"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2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28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国产影片观影人次增长</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w:t>
            </w:r>
            <w:r>
              <w:rPr>
                <w:rFonts w:hint="eastAsia" w:ascii="宋体" w:hAnsi="宋体" w:eastAsia="宋体" w:cs="宋体"/>
                <w:color w:val="000000"/>
                <w:kern w:val="0"/>
                <w:sz w:val="20"/>
                <w:szCs w:val="20"/>
                <w:lang w:bidi="ar"/>
              </w:rPr>
              <w:t>2%</w:t>
            </w:r>
          </w:p>
        </w:tc>
      </w:tr>
      <w:tr>
        <w:tblPrEx>
          <w:tblCellMar>
            <w:top w:w="15" w:type="dxa"/>
            <w:left w:w="15" w:type="dxa"/>
            <w:bottom w:w="15" w:type="dxa"/>
            <w:right w:w="15" w:type="dxa"/>
          </w:tblCellMar>
        </w:tblPrEx>
        <w:trPr>
          <w:trHeight w:val="340" w:hRule="atLeast"/>
        </w:trPr>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宋体" w:cs="仿宋_GB2312"/>
                <w:color w:val="000000"/>
                <w:sz w:val="20"/>
                <w:szCs w:val="20"/>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观众对影院的满意度</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宋体" w:cs="仿宋_GB2312"/>
                <w:color w:val="000000"/>
                <w:sz w:val="20"/>
                <w:szCs w:val="20"/>
              </w:rPr>
            </w:pPr>
            <w:r>
              <w:rPr>
                <w:rFonts w:hint="eastAsia" w:ascii="仿宋_GB2312" w:hAnsi="宋体" w:cs="仿宋_GB2312"/>
                <w:color w:val="000000"/>
                <w:kern w:val="0"/>
                <w:sz w:val="20"/>
                <w:szCs w:val="20"/>
                <w:lang w:bidi="ar"/>
              </w:rPr>
              <w:t>≥</w:t>
            </w:r>
            <w:r>
              <w:rPr>
                <w:rFonts w:hint="eastAsia" w:ascii="宋体" w:hAnsi="宋体" w:eastAsia="宋体" w:cs="宋体"/>
                <w:color w:val="000000"/>
                <w:kern w:val="0"/>
                <w:sz w:val="20"/>
                <w:szCs w:val="20"/>
                <w:lang w:bidi="ar"/>
              </w:rPr>
              <w:t>85分</w:t>
            </w:r>
          </w:p>
        </w:tc>
      </w:tr>
    </w:tbl>
    <w:p>
      <w:pPr>
        <w:spacing w:line="560" w:lineRule="exact"/>
        <w:ind w:firstLine="640" w:firstLineChars="200"/>
        <w:rPr>
          <w:rFonts w:ascii="仿宋_GB2312" w:hAnsi="仿宋"/>
          <w:color w:val="000000"/>
          <w:sz w:val="32"/>
          <w:szCs w:val="32"/>
        </w:rPr>
        <w:sectPr>
          <w:pgSz w:w="11906" w:h="16838"/>
          <w:pgMar w:top="1871" w:right="1531" w:bottom="1644" w:left="1531" w:header="851" w:footer="992" w:gutter="0"/>
          <w:pgNumType w:fmt="numberInDash"/>
          <w:cols w:space="720" w:num="1"/>
          <w:docGrid w:type="lines" w:linePitch="408" w:charSpace="0"/>
        </w:sectPr>
      </w:pP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二、绩效目标完成情况分析</w:t>
      </w:r>
    </w:p>
    <w:p>
      <w:pPr>
        <w:spacing w:line="560" w:lineRule="exact"/>
        <w:ind w:firstLine="640" w:firstLineChars="200"/>
        <w:rPr>
          <w:rFonts w:ascii="楷体_GB2312" w:hAnsi="仿宋" w:eastAsia="楷体_GB2312"/>
          <w:bCs/>
          <w:color w:val="000000"/>
          <w:sz w:val="32"/>
          <w:szCs w:val="32"/>
        </w:rPr>
      </w:pPr>
      <w:r>
        <w:rPr>
          <w:rFonts w:hint="eastAsia" w:ascii="楷体_GB2312" w:hAnsi="仿宋" w:eastAsia="楷体_GB2312"/>
          <w:bCs/>
          <w:color w:val="000000"/>
          <w:sz w:val="32"/>
          <w:szCs w:val="32"/>
        </w:rPr>
        <w:t>（一）资金投入情况分析</w:t>
      </w:r>
    </w:p>
    <w:p>
      <w:pPr>
        <w:spacing w:line="560" w:lineRule="exact"/>
        <w:ind w:firstLine="640"/>
        <w:rPr>
          <w:rFonts w:ascii="仿宋_GB2312" w:hAnsi="仿宋"/>
          <w:b/>
          <w:bCs/>
          <w:color w:val="000000"/>
          <w:sz w:val="32"/>
          <w:szCs w:val="32"/>
        </w:rPr>
      </w:pPr>
      <w:r>
        <w:rPr>
          <w:rFonts w:hint="eastAsia" w:ascii="仿宋_GB2312" w:hAnsi="仿宋"/>
          <w:b/>
          <w:bCs/>
          <w:color w:val="000000"/>
          <w:sz w:val="32"/>
          <w:szCs w:val="32"/>
        </w:rPr>
        <w:t>1.项目资金到位情况分析</w:t>
      </w:r>
    </w:p>
    <w:p>
      <w:pPr>
        <w:spacing w:line="560" w:lineRule="exact"/>
        <w:ind w:firstLine="640"/>
        <w:rPr>
          <w:rFonts w:ascii="仿宋_GB2312" w:hAnsi="仿宋"/>
          <w:color w:val="000000"/>
          <w:sz w:val="32"/>
          <w:szCs w:val="32"/>
        </w:rPr>
      </w:pPr>
      <w:r>
        <w:rPr>
          <w:rFonts w:hint="eastAsia" w:ascii="仿宋_GB2312" w:hAnsi="仿宋"/>
          <w:color w:val="000000"/>
          <w:sz w:val="32"/>
          <w:szCs w:val="32"/>
        </w:rPr>
        <w:t>2021年度中央下达新疆补助地方国家电影事业发展专项资金总额为1</w:t>
      </w:r>
      <w:r>
        <w:rPr>
          <w:rFonts w:ascii="仿宋_GB2312" w:hAnsi="仿宋"/>
          <w:color w:val="000000"/>
          <w:sz w:val="32"/>
          <w:szCs w:val="32"/>
          <w:lang w:val="en"/>
        </w:rPr>
        <w:t>,</w:t>
      </w:r>
      <w:r>
        <w:rPr>
          <w:rFonts w:hint="eastAsia" w:ascii="仿宋_GB2312" w:hAnsi="仿宋"/>
          <w:color w:val="000000"/>
          <w:sz w:val="32"/>
          <w:szCs w:val="32"/>
        </w:rPr>
        <w:t>089万元，资金到位1</w:t>
      </w:r>
      <w:r>
        <w:rPr>
          <w:rFonts w:ascii="仿宋_GB2312" w:hAnsi="仿宋"/>
          <w:color w:val="000000"/>
          <w:sz w:val="32"/>
          <w:szCs w:val="32"/>
          <w:lang w:val="en"/>
        </w:rPr>
        <w:t>,</w:t>
      </w:r>
      <w:r>
        <w:rPr>
          <w:rFonts w:hint="eastAsia" w:ascii="仿宋_GB2312" w:hAnsi="仿宋"/>
          <w:color w:val="000000"/>
          <w:sz w:val="32"/>
          <w:szCs w:val="32"/>
        </w:rPr>
        <w:t>089万元，到位率100%。</w:t>
      </w:r>
    </w:p>
    <w:p>
      <w:pPr>
        <w:spacing w:line="560" w:lineRule="exact"/>
        <w:ind w:firstLine="640"/>
        <w:rPr>
          <w:rFonts w:ascii="仿宋_GB2312" w:hAnsi="仿宋"/>
          <w:b/>
          <w:bCs/>
          <w:color w:val="000000"/>
          <w:sz w:val="32"/>
          <w:szCs w:val="32"/>
        </w:rPr>
      </w:pPr>
      <w:r>
        <w:rPr>
          <w:rFonts w:hint="eastAsia" w:ascii="仿宋_GB2312" w:hAnsi="仿宋"/>
          <w:b/>
          <w:bCs/>
          <w:color w:val="000000"/>
          <w:sz w:val="32"/>
          <w:szCs w:val="32"/>
        </w:rPr>
        <w:t>2.项目资金执行情况分析</w:t>
      </w:r>
    </w:p>
    <w:p>
      <w:pPr>
        <w:spacing w:line="560" w:lineRule="exact"/>
        <w:ind w:firstLine="640"/>
        <w:rPr>
          <w:rFonts w:ascii="仿宋_GB2312" w:hAnsi="仿宋"/>
          <w:color w:val="000000"/>
          <w:sz w:val="32"/>
          <w:szCs w:val="32"/>
        </w:rPr>
      </w:pPr>
      <w:r>
        <w:rPr>
          <w:rFonts w:hint="eastAsia" w:ascii="仿宋_GB2312" w:hAnsi="仿宋"/>
          <w:color w:val="000000"/>
          <w:sz w:val="32"/>
          <w:szCs w:val="32"/>
        </w:rPr>
        <w:t>截止2021年12月31日，2021年度中央补助地方国家电影事业发展专项资金1</w:t>
      </w:r>
      <w:r>
        <w:rPr>
          <w:rFonts w:ascii="仿宋_GB2312" w:hAnsi="仿宋"/>
          <w:color w:val="000000"/>
          <w:sz w:val="32"/>
          <w:szCs w:val="32"/>
          <w:lang w:val="en"/>
        </w:rPr>
        <w:t>,</w:t>
      </w:r>
      <w:r>
        <w:rPr>
          <w:rFonts w:hint="eastAsia" w:ascii="仿宋_GB2312" w:hAnsi="仿宋"/>
          <w:color w:val="000000"/>
          <w:sz w:val="32"/>
          <w:szCs w:val="32"/>
        </w:rPr>
        <w:t>089元，共计执行761.95万元，执行率</w:t>
      </w:r>
      <w:r>
        <w:rPr>
          <w:rFonts w:ascii="仿宋_GB2312" w:hAnsi="仿宋"/>
          <w:color w:val="000000"/>
          <w:sz w:val="32"/>
          <w:szCs w:val="32"/>
        </w:rPr>
        <w:t>69.97</w:t>
      </w:r>
      <w:r>
        <w:rPr>
          <w:rFonts w:hint="eastAsia" w:ascii="仿宋_GB2312" w:hAnsi="仿宋"/>
          <w:color w:val="000000"/>
          <w:sz w:val="32"/>
          <w:szCs w:val="32"/>
        </w:rPr>
        <w:t>%。具体如下：</w:t>
      </w:r>
    </w:p>
    <w:p>
      <w:pPr>
        <w:spacing w:line="560" w:lineRule="exact"/>
        <w:ind w:firstLine="640"/>
        <w:rPr>
          <w:rFonts w:ascii="仿宋_GB2312" w:hAnsi="仿宋"/>
          <w:color w:val="000000"/>
          <w:sz w:val="32"/>
          <w:szCs w:val="32"/>
        </w:rPr>
      </w:pPr>
      <w:r>
        <w:rPr>
          <w:rFonts w:hint="eastAsia" w:ascii="仿宋_GB2312" w:hAnsi="仿宋"/>
          <w:color w:val="000000"/>
          <w:sz w:val="32"/>
          <w:szCs w:val="32"/>
        </w:rPr>
        <w:t>（</w:t>
      </w:r>
      <w:r>
        <w:rPr>
          <w:rFonts w:ascii="仿宋_GB2312" w:hAnsi="仿宋"/>
          <w:color w:val="000000"/>
          <w:sz w:val="32"/>
          <w:szCs w:val="32"/>
        </w:rPr>
        <w:t>1</w:t>
      </w:r>
      <w:r>
        <w:rPr>
          <w:rFonts w:hint="eastAsia" w:ascii="仿宋_GB2312" w:hAnsi="仿宋"/>
          <w:color w:val="000000"/>
          <w:sz w:val="32"/>
          <w:szCs w:val="32"/>
        </w:rPr>
        <w:t>）</w:t>
      </w:r>
      <w:r>
        <w:rPr>
          <w:rFonts w:hint="eastAsia" w:ascii="仿宋_GB2312" w:hAnsi="仿宋"/>
          <w:color w:val="000000"/>
          <w:sz w:val="32"/>
          <w:szCs w:val="32"/>
          <w:lang w:eastAsia="zh-CN"/>
        </w:rPr>
        <w:t>重点</w:t>
      </w:r>
      <w:r>
        <w:rPr>
          <w:rFonts w:hint="eastAsia" w:ascii="仿宋_GB2312" w:hAnsi="仿宋"/>
          <w:color w:val="000000"/>
          <w:sz w:val="32"/>
          <w:szCs w:val="32"/>
        </w:rPr>
        <w:t>项目资金490万元，已拨付至新疆广播影视译制中心，执行162.95万元，执行率</w:t>
      </w:r>
      <w:r>
        <w:rPr>
          <w:rFonts w:ascii="仿宋_GB2312" w:hAnsi="仿宋"/>
          <w:color w:val="000000"/>
          <w:sz w:val="32"/>
          <w:szCs w:val="32"/>
          <w:lang w:val="en"/>
        </w:rPr>
        <w:t>33.26</w:t>
      </w:r>
      <w:r>
        <w:rPr>
          <w:rFonts w:hint="eastAsia" w:ascii="仿宋_GB2312" w:hAnsi="仿宋"/>
          <w:color w:val="000000"/>
          <w:sz w:val="32"/>
          <w:szCs w:val="32"/>
        </w:rPr>
        <w:t>%，全部用于少数民族语电影译制工作。</w:t>
      </w:r>
    </w:p>
    <w:p>
      <w:pPr>
        <w:spacing w:line="560" w:lineRule="exact"/>
        <w:ind w:firstLine="640"/>
        <w:rPr>
          <w:rFonts w:hint="eastAsia" w:ascii="仿宋_GB2312" w:hAnsi="仿宋" w:eastAsia="仿宋_GB2312"/>
          <w:color w:val="000000"/>
          <w:sz w:val="32"/>
          <w:szCs w:val="32"/>
          <w:lang w:eastAsia="zh-CN"/>
        </w:rPr>
      </w:pPr>
      <w:r>
        <w:rPr>
          <w:rFonts w:hint="eastAsia" w:ascii="仿宋_GB2312" w:hAnsi="仿宋"/>
          <w:color w:val="000000"/>
          <w:sz w:val="32"/>
          <w:szCs w:val="32"/>
        </w:rPr>
        <w:t>（2）</w:t>
      </w:r>
      <w:r>
        <w:rPr>
          <w:rFonts w:hint="eastAsia" w:ascii="仿宋_GB2312" w:hAnsi="仿宋"/>
          <w:color w:val="000000"/>
          <w:sz w:val="32"/>
          <w:szCs w:val="32"/>
          <w:lang w:eastAsia="zh-CN"/>
        </w:rPr>
        <w:t>一般</w:t>
      </w:r>
      <w:r>
        <w:rPr>
          <w:rFonts w:hint="eastAsia" w:ascii="仿宋_GB2312" w:hAnsi="仿宋"/>
          <w:color w:val="000000"/>
          <w:sz w:val="32"/>
          <w:szCs w:val="32"/>
        </w:rPr>
        <w:t>项目资金599万元，已拨付至自治区党委宣传部，执行</w:t>
      </w:r>
      <w:r>
        <w:rPr>
          <w:rFonts w:ascii="仿宋_GB2312" w:hAnsi="仿宋"/>
          <w:color w:val="000000"/>
          <w:sz w:val="32"/>
          <w:szCs w:val="32"/>
        </w:rPr>
        <w:t>599</w:t>
      </w:r>
      <w:r>
        <w:rPr>
          <w:rFonts w:hint="eastAsia" w:ascii="仿宋_GB2312" w:hAnsi="仿宋"/>
          <w:color w:val="000000"/>
          <w:sz w:val="32"/>
          <w:szCs w:val="32"/>
        </w:rPr>
        <w:t>万元，执行率</w:t>
      </w:r>
      <w:r>
        <w:rPr>
          <w:rFonts w:ascii="仿宋_GB2312" w:hAnsi="仿宋"/>
          <w:color w:val="000000"/>
          <w:sz w:val="32"/>
          <w:szCs w:val="32"/>
          <w:lang w:val="en"/>
        </w:rPr>
        <w:t>100</w:t>
      </w:r>
      <w:r>
        <w:rPr>
          <w:rFonts w:hint="eastAsia" w:ascii="仿宋_GB2312" w:hAnsi="仿宋"/>
          <w:color w:val="000000"/>
          <w:sz w:val="32"/>
          <w:szCs w:val="32"/>
        </w:rPr>
        <w:t>%，全部用于奖励放映国产影片成绩突出影院、补助中西部县城新建数字影院等工作</w:t>
      </w:r>
      <w:r>
        <w:rPr>
          <w:rFonts w:hint="eastAsia" w:ascii="仿宋_GB2312" w:hAnsi="仿宋"/>
          <w:color w:val="000000"/>
          <w:sz w:val="32"/>
          <w:szCs w:val="32"/>
          <w:lang w:eastAsia="zh-CN"/>
        </w:rPr>
        <w:t>。</w:t>
      </w:r>
    </w:p>
    <w:p>
      <w:pPr>
        <w:spacing w:line="560" w:lineRule="exact"/>
        <w:ind w:firstLine="844" w:firstLineChars="263"/>
        <w:rPr>
          <w:rFonts w:ascii="仿宋_GB2312" w:hAnsi="仿宋"/>
          <w:b/>
          <w:bCs/>
          <w:color w:val="000000"/>
          <w:sz w:val="32"/>
          <w:szCs w:val="32"/>
        </w:rPr>
      </w:pPr>
      <w:r>
        <w:rPr>
          <w:rFonts w:hint="eastAsia" w:ascii="仿宋_GB2312" w:hAnsi="仿宋"/>
          <w:b/>
          <w:bCs/>
          <w:color w:val="000000"/>
          <w:sz w:val="32"/>
          <w:szCs w:val="32"/>
        </w:rPr>
        <w:t>3.项目资金管理情况分析</w:t>
      </w:r>
    </w:p>
    <w:p>
      <w:pPr>
        <w:spacing w:line="560" w:lineRule="exact"/>
        <w:ind w:firstLine="640"/>
        <w:rPr>
          <w:rFonts w:ascii="仿宋_GB2312" w:hAnsi="仿宋"/>
          <w:color w:val="000000"/>
          <w:sz w:val="32"/>
          <w:szCs w:val="32"/>
        </w:rPr>
      </w:pPr>
      <w:r>
        <w:rPr>
          <w:rFonts w:hint="eastAsia" w:ascii="仿宋_GB2312" w:hAnsi="仿宋"/>
          <w:color w:val="000000"/>
          <w:sz w:val="32"/>
          <w:szCs w:val="32"/>
        </w:rPr>
        <w:t>（1）按照《财政部 中央宣传部关于印发&lt;中央级国家电影事业发展专项资金预算管理办法&gt;的通知》（财教</w:t>
      </w:r>
      <w:r>
        <w:rPr>
          <w:rFonts w:ascii="仿宋_GB2312" w:hAnsi="仿宋"/>
          <w:color w:val="000000"/>
          <w:sz w:val="32"/>
          <w:szCs w:val="32"/>
          <w:lang w:val="en"/>
        </w:rPr>
        <w:t>〔2019〕</w:t>
      </w:r>
      <w:r>
        <w:rPr>
          <w:rFonts w:hint="eastAsia" w:ascii="仿宋_GB2312" w:hAnsi="仿宋"/>
          <w:color w:val="000000"/>
          <w:sz w:val="32"/>
          <w:szCs w:val="32"/>
        </w:rPr>
        <w:t>260号）要求，组织我区2021年补助地方国家电影事业发展专项资金项目的审核和资金下达。总体来看，本项目资金的整体管理规范，做到了专款专用、及时拨付、规范支付，保障项目资金支付需求，确保新疆补助地方国家电影事业发展专项资金项目顺利实施。</w:t>
      </w:r>
    </w:p>
    <w:p>
      <w:pPr>
        <w:spacing w:line="560" w:lineRule="exact"/>
        <w:ind w:firstLine="640"/>
        <w:rPr>
          <w:rFonts w:hint="eastAsia" w:ascii="仿宋_GB2312" w:hAnsi="仿宋"/>
          <w:color w:val="000000"/>
          <w:sz w:val="32"/>
          <w:szCs w:val="32"/>
        </w:rPr>
      </w:pPr>
      <w:r>
        <w:rPr>
          <w:rFonts w:hint="eastAsia" w:ascii="仿宋_GB2312" w:hAnsi="仿宋"/>
          <w:color w:val="000000"/>
          <w:sz w:val="32"/>
          <w:szCs w:val="32"/>
        </w:rPr>
        <w:t>（2）根据自治区财政厅拨付专项资金的要求，不断对项目实施环节监管，切实提高专项资金的使用效益。对于发现存在挤占、截留和挪用专项资金等行为，严格按国家有关法律规定严肃处理。</w:t>
      </w:r>
    </w:p>
    <w:p>
      <w:pPr>
        <w:spacing w:line="560" w:lineRule="exact"/>
        <w:ind w:firstLine="640" w:firstLineChars="200"/>
        <w:rPr>
          <w:rFonts w:ascii="仿宋_GB2312" w:hAnsi="仿宋"/>
          <w:color w:val="000000"/>
          <w:sz w:val="32"/>
          <w:szCs w:val="32"/>
        </w:rPr>
      </w:pPr>
      <w:r>
        <w:rPr>
          <w:rFonts w:hint="eastAsia" w:ascii="楷体_GB2312" w:hAnsi="仿宋" w:eastAsia="楷体_GB2312"/>
          <w:bCs/>
          <w:color w:val="000000"/>
          <w:sz w:val="32"/>
          <w:szCs w:val="32"/>
        </w:rPr>
        <w:t>（二）总体绩效目标完成情况分析</w:t>
      </w:r>
    </w:p>
    <w:p>
      <w:pPr>
        <w:spacing w:line="560" w:lineRule="exact"/>
        <w:ind w:firstLine="640"/>
        <w:rPr>
          <w:rFonts w:ascii="仿宋_GB2312" w:hAnsi="仿宋"/>
          <w:color w:val="000000"/>
          <w:sz w:val="32"/>
          <w:szCs w:val="32"/>
        </w:rPr>
      </w:pPr>
      <w:r>
        <w:rPr>
          <w:rFonts w:hint="eastAsia" w:ascii="仿宋_GB2312" w:hAnsi="仿宋"/>
          <w:color w:val="000000"/>
          <w:sz w:val="32"/>
          <w:szCs w:val="32"/>
        </w:rPr>
        <w:t>财政部下达新疆区域绩效总体目标是：提升少数民族语电影译制能力，推动影院建设和先进技术应用推广，鼓励引导文化特色、艺术影片发行和放映，促进国产影片票房增长，推动新疆事业持续发展。</w:t>
      </w:r>
    </w:p>
    <w:p>
      <w:pPr>
        <w:spacing w:line="560" w:lineRule="exact"/>
        <w:ind w:firstLine="640"/>
        <w:rPr>
          <w:rFonts w:ascii="仿宋_GB2312" w:hAnsi="仿宋"/>
          <w:color w:val="000000"/>
          <w:sz w:val="32"/>
          <w:szCs w:val="32"/>
        </w:rPr>
      </w:pPr>
      <w:r>
        <w:rPr>
          <w:rFonts w:hint="eastAsia" w:ascii="仿宋_GB2312" w:hAnsi="仿宋"/>
          <w:color w:val="000000"/>
          <w:sz w:val="32"/>
          <w:szCs w:val="32"/>
        </w:rPr>
        <w:t>自治区党委宣传部严格按照国家电影事业发展专项资金管理要求，结合我区电影事业发展实际需要，制定了详细的项目实施方案，补助中西部地区县城新建数字影院数量</w:t>
      </w:r>
      <w:r>
        <w:rPr>
          <w:rFonts w:ascii="仿宋_GB2312" w:hAnsi="仿宋"/>
          <w:color w:val="000000"/>
          <w:sz w:val="32"/>
          <w:szCs w:val="32"/>
        </w:rPr>
        <w:t>13家</w:t>
      </w:r>
      <w:r>
        <w:rPr>
          <w:rFonts w:hint="eastAsia" w:ascii="仿宋_GB2312" w:hAnsi="仿宋"/>
          <w:color w:val="000000"/>
          <w:sz w:val="32"/>
          <w:szCs w:val="32"/>
        </w:rPr>
        <w:t>，</w:t>
      </w:r>
      <w:r>
        <w:rPr>
          <w:rFonts w:ascii="仿宋_GB2312" w:hAnsi="仿宋"/>
          <w:color w:val="000000"/>
          <w:sz w:val="32"/>
          <w:szCs w:val="32"/>
        </w:rPr>
        <w:t>放映国产影片影院数量</w:t>
      </w:r>
      <w:r>
        <w:rPr>
          <w:rFonts w:hint="eastAsia" w:ascii="仿宋_GB2312" w:hAnsi="仿宋"/>
          <w:color w:val="000000"/>
          <w:sz w:val="32"/>
          <w:szCs w:val="32"/>
        </w:rPr>
        <w:t>1</w:t>
      </w:r>
      <w:r>
        <w:rPr>
          <w:rFonts w:ascii="仿宋_GB2312" w:hAnsi="仿宋"/>
          <w:color w:val="000000"/>
          <w:sz w:val="32"/>
          <w:szCs w:val="32"/>
        </w:rPr>
        <w:t>89家</w:t>
      </w:r>
      <w:r>
        <w:rPr>
          <w:rFonts w:hint="eastAsia" w:ascii="仿宋_GB2312" w:hAnsi="仿宋"/>
          <w:color w:val="000000"/>
          <w:sz w:val="32"/>
          <w:szCs w:val="32"/>
        </w:rPr>
        <w:t>，少数民族影片译制部数7</w:t>
      </w:r>
      <w:r>
        <w:rPr>
          <w:rFonts w:ascii="仿宋_GB2312" w:hAnsi="仿宋"/>
          <w:color w:val="000000"/>
          <w:sz w:val="32"/>
          <w:szCs w:val="32"/>
        </w:rPr>
        <w:t>0部</w:t>
      </w:r>
      <w:r>
        <w:rPr>
          <w:rFonts w:hint="eastAsia" w:ascii="仿宋_GB2312" w:hAnsi="仿宋"/>
          <w:color w:val="000000"/>
          <w:sz w:val="32"/>
          <w:szCs w:val="32"/>
        </w:rPr>
        <w:t>。提升少数民族语电影译制能力，推动影院建设和先进技术应用推广，促进国产影片票房增长，推动新疆事业持续发展。</w:t>
      </w:r>
    </w:p>
    <w:p>
      <w:pPr>
        <w:spacing w:line="560" w:lineRule="exact"/>
        <w:ind w:firstLine="640" w:firstLineChars="200"/>
        <w:rPr>
          <w:rFonts w:ascii="仿宋_GB2312" w:hAnsi="仿宋"/>
          <w:color w:val="000000"/>
          <w:sz w:val="32"/>
          <w:szCs w:val="32"/>
        </w:rPr>
      </w:pPr>
      <w:r>
        <w:rPr>
          <w:rFonts w:hint="eastAsia" w:ascii="楷体_GB2312" w:hAnsi="仿宋" w:eastAsia="楷体_GB2312"/>
          <w:bCs/>
          <w:color w:val="000000"/>
          <w:sz w:val="32"/>
          <w:szCs w:val="32"/>
        </w:rPr>
        <w:t>（三）绩效指标完成情况分析</w:t>
      </w:r>
    </w:p>
    <w:p>
      <w:pPr>
        <w:spacing w:line="560" w:lineRule="exact"/>
        <w:ind w:firstLine="640"/>
        <w:rPr>
          <w:rFonts w:ascii="仿宋_GB2312" w:hAnsi="仿宋"/>
          <w:b/>
          <w:bCs/>
          <w:color w:val="000000"/>
          <w:sz w:val="32"/>
          <w:szCs w:val="32"/>
        </w:rPr>
      </w:pPr>
      <w:r>
        <w:rPr>
          <w:rFonts w:hint="eastAsia" w:ascii="仿宋_GB2312" w:hAnsi="仿宋"/>
          <w:b/>
          <w:bCs/>
          <w:color w:val="000000"/>
          <w:sz w:val="32"/>
          <w:szCs w:val="32"/>
        </w:rPr>
        <w:t>1.产出指标完成情况分析</w:t>
      </w:r>
    </w:p>
    <w:p>
      <w:pPr>
        <w:spacing w:line="560" w:lineRule="exact"/>
        <w:ind w:firstLine="640"/>
        <w:rPr>
          <w:rFonts w:ascii="仿宋_GB2312" w:hAnsi="仿宋"/>
          <w:color w:val="000000"/>
          <w:sz w:val="32"/>
          <w:szCs w:val="32"/>
        </w:rPr>
      </w:pPr>
      <w:r>
        <w:rPr>
          <w:rFonts w:hint="eastAsia" w:ascii="仿宋_GB2312" w:hAnsi="仿宋"/>
          <w:color w:val="000000"/>
          <w:sz w:val="32"/>
          <w:szCs w:val="32"/>
        </w:rPr>
        <w:t>（1）数量指标</w:t>
      </w:r>
    </w:p>
    <w:p>
      <w:pPr>
        <w:spacing w:line="560" w:lineRule="exact"/>
        <w:ind w:firstLine="640"/>
        <w:rPr>
          <w:rFonts w:ascii="仿宋_GB2312" w:hAnsi="仿宋"/>
          <w:color w:val="000000"/>
          <w:sz w:val="32"/>
          <w:szCs w:val="32"/>
        </w:rPr>
      </w:pPr>
      <w:r>
        <w:rPr>
          <w:rFonts w:hint="eastAsia" w:ascii="仿宋_GB2312" w:hAnsi="仿宋"/>
          <w:color w:val="000000"/>
          <w:sz w:val="32"/>
          <w:szCs w:val="32"/>
        </w:rPr>
        <w:t>a.财政部随文下达补助中西部地区县城新建数字影院数量指标，指标值为</w:t>
      </w:r>
      <w:r>
        <w:rPr>
          <w:rFonts w:ascii="仿宋_GB2312" w:hAnsi="仿宋"/>
          <w:color w:val="000000"/>
          <w:sz w:val="32"/>
          <w:szCs w:val="32"/>
        </w:rPr>
        <w:t>13</w:t>
      </w:r>
      <w:r>
        <w:rPr>
          <w:rFonts w:hint="eastAsia" w:ascii="仿宋_GB2312" w:hAnsi="仿宋"/>
          <w:color w:val="000000"/>
          <w:sz w:val="32"/>
          <w:szCs w:val="32"/>
        </w:rPr>
        <w:t>家，新疆实际完成</w:t>
      </w:r>
      <w:r>
        <w:rPr>
          <w:rFonts w:ascii="仿宋_GB2312" w:hAnsi="仿宋"/>
          <w:color w:val="000000"/>
          <w:sz w:val="32"/>
          <w:szCs w:val="32"/>
        </w:rPr>
        <w:t>13</w:t>
      </w:r>
      <w:r>
        <w:rPr>
          <w:rFonts w:hint="eastAsia" w:ascii="仿宋_GB2312" w:hAnsi="仿宋"/>
          <w:color w:val="000000"/>
          <w:sz w:val="32"/>
          <w:szCs w:val="32"/>
        </w:rPr>
        <w:t>家，完成率100%，偏差率0%。</w:t>
      </w:r>
    </w:p>
    <w:p>
      <w:pPr>
        <w:spacing w:line="560" w:lineRule="exact"/>
        <w:ind w:firstLine="640"/>
        <w:rPr>
          <w:rFonts w:ascii="仿宋_GB2312" w:hAnsi="仿宋"/>
          <w:color w:val="000000"/>
          <w:sz w:val="32"/>
          <w:szCs w:val="32"/>
        </w:rPr>
      </w:pPr>
      <w:r>
        <w:rPr>
          <w:rFonts w:hint="eastAsia" w:ascii="仿宋_GB2312" w:hAnsi="仿宋"/>
          <w:color w:val="000000"/>
          <w:sz w:val="32"/>
          <w:szCs w:val="32"/>
        </w:rPr>
        <w:t>b.财政部随文下达放映国产影片影院数量指标，指标值为≥</w:t>
      </w:r>
      <w:r>
        <w:rPr>
          <w:rFonts w:ascii="仿宋_GB2312" w:hAnsi="仿宋"/>
          <w:color w:val="000000"/>
          <w:sz w:val="32"/>
          <w:szCs w:val="32"/>
        </w:rPr>
        <w:t>100</w:t>
      </w:r>
      <w:r>
        <w:rPr>
          <w:rFonts w:hint="eastAsia" w:ascii="仿宋_GB2312" w:hAnsi="仿宋"/>
          <w:color w:val="000000"/>
          <w:sz w:val="32"/>
          <w:szCs w:val="32"/>
        </w:rPr>
        <w:t>家，新疆实际完成189家，完成率1</w:t>
      </w:r>
      <w:r>
        <w:rPr>
          <w:rFonts w:ascii="仿宋_GB2312" w:hAnsi="仿宋"/>
          <w:color w:val="000000"/>
          <w:sz w:val="32"/>
          <w:szCs w:val="32"/>
        </w:rPr>
        <w:t>89</w:t>
      </w:r>
      <w:r>
        <w:rPr>
          <w:rFonts w:hint="eastAsia" w:ascii="仿宋_GB2312" w:hAnsi="仿宋"/>
          <w:color w:val="000000"/>
          <w:sz w:val="32"/>
          <w:szCs w:val="32"/>
        </w:rPr>
        <w:t>%，偏差率8%，指标偏差原因:在下达绩效目标后，自治区新开业影院14家，新增7</w:t>
      </w:r>
      <w:r>
        <w:rPr>
          <w:rFonts w:ascii="仿宋_GB2312" w:hAnsi="仿宋"/>
          <w:color w:val="000000"/>
          <w:sz w:val="32"/>
          <w:szCs w:val="32"/>
        </w:rPr>
        <w:t>5</w:t>
      </w:r>
      <w:r>
        <w:rPr>
          <w:rFonts w:hint="eastAsia" w:ascii="仿宋_GB2312" w:hAnsi="仿宋"/>
          <w:color w:val="000000"/>
          <w:sz w:val="32"/>
          <w:szCs w:val="32"/>
        </w:rPr>
        <w:t>家可以正常营业的影院，造成指标有所偏差。</w:t>
      </w:r>
    </w:p>
    <w:p>
      <w:pPr>
        <w:spacing w:line="560" w:lineRule="exact"/>
        <w:ind w:firstLine="640"/>
        <w:rPr>
          <w:rFonts w:ascii="仿宋_GB2312" w:hAnsi="仿宋"/>
          <w:color w:val="000000"/>
          <w:sz w:val="32"/>
          <w:szCs w:val="32"/>
        </w:rPr>
      </w:pPr>
      <w:r>
        <w:rPr>
          <w:rFonts w:hint="eastAsia" w:ascii="仿宋_GB2312" w:hAnsi="仿宋"/>
          <w:color w:val="000000"/>
          <w:sz w:val="32"/>
          <w:szCs w:val="32"/>
        </w:rPr>
        <w:t>c.财政部随文下达少数民族语影片译制部数指标，指标值为70部次，新疆实际完成70部次，完成率100%，偏差率0%。</w:t>
      </w:r>
    </w:p>
    <w:p>
      <w:pPr>
        <w:spacing w:line="560" w:lineRule="exact"/>
        <w:ind w:firstLine="640"/>
        <w:rPr>
          <w:rFonts w:ascii="仿宋_GB2312" w:hAnsi="仿宋"/>
          <w:color w:val="000000"/>
          <w:sz w:val="32"/>
          <w:szCs w:val="32"/>
        </w:rPr>
      </w:pPr>
      <w:r>
        <w:rPr>
          <w:rFonts w:hint="eastAsia" w:ascii="仿宋_GB2312" w:hAnsi="仿宋"/>
          <w:color w:val="000000"/>
          <w:sz w:val="32"/>
          <w:szCs w:val="32"/>
        </w:rPr>
        <w:t>（2）质量指标</w:t>
      </w:r>
    </w:p>
    <w:p>
      <w:pPr>
        <w:spacing w:line="560" w:lineRule="exact"/>
        <w:ind w:firstLine="640"/>
        <w:rPr>
          <w:rFonts w:ascii="仿宋_GB2312" w:hAnsi="仿宋"/>
          <w:color w:val="000000"/>
          <w:sz w:val="32"/>
          <w:szCs w:val="32"/>
        </w:rPr>
      </w:pPr>
      <w:r>
        <w:rPr>
          <w:rFonts w:hint="eastAsia" w:ascii="仿宋_GB2312" w:hAnsi="仿宋"/>
          <w:color w:val="000000"/>
          <w:sz w:val="32"/>
          <w:szCs w:val="32"/>
        </w:rPr>
        <w:t>a.财政部随文下达县城影院覆盖率指标，指标值为≥90%，新疆实际完成100%，完成率1</w:t>
      </w:r>
      <w:r>
        <w:rPr>
          <w:rFonts w:ascii="仿宋_GB2312" w:hAnsi="仿宋"/>
          <w:color w:val="000000"/>
          <w:sz w:val="32"/>
          <w:szCs w:val="32"/>
        </w:rPr>
        <w:t>11.11</w:t>
      </w:r>
      <w:r>
        <w:rPr>
          <w:rFonts w:hint="eastAsia" w:ascii="仿宋_GB2312" w:hAnsi="仿宋"/>
          <w:color w:val="000000"/>
          <w:sz w:val="32"/>
          <w:szCs w:val="32"/>
        </w:rPr>
        <w:t>%，偏差率</w:t>
      </w:r>
      <w:r>
        <w:rPr>
          <w:rFonts w:ascii="仿宋_GB2312" w:hAnsi="仿宋"/>
          <w:color w:val="000000"/>
          <w:sz w:val="32"/>
          <w:szCs w:val="32"/>
        </w:rPr>
        <w:t>11.11</w:t>
      </w:r>
      <w:r>
        <w:rPr>
          <w:rFonts w:hint="eastAsia" w:ascii="仿宋_GB2312" w:hAnsi="仿宋"/>
          <w:color w:val="000000"/>
          <w:sz w:val="32"/>
          <w:szCs w:val="32"/>
        </w:rPr>
        <w:t>%。</w:t>
      </w:r>
    </w:p>
    <w:p>
      <w:pPr>
        <w:spacing w:line="560" w:lineRule="exact"/>
        <w:ind w:firstLine="640"/>
        <w:rPr>
          <w:rFonts w:ascii="仿宋_GB2312" w:hAnsi="仿宋"/>
          <w:color w:val="000000"/>
          <w:sz w:val="32"/>
          <w:szCs w:val="32"/>
        </w:rPr>
      </w:pPr>
      <w:r>
        <w:rPr>
          <w:rFonts w:hint="eastAsia" w:ascii="仿宋_GB2312" w:hAnsi="仿宋"/>
          <w:color w:val="000000"/>
          <w:sz w:val="32"/>
          <w:szCs w:val="32"/>
        </w:rPr>
        <w:t>b.财政部随文下达少数民族语影片译制合格率指标，指标值为100%，新疆实际完成100%，完成率100%，偏差率0%。</w:t>
      </w:r>
    </w:p>
    <w:p>
      <w:pPr>
        <w:spacing w:line="560" w:lineRule="exact"/>
        <w:ind w:firstLine="640"/>
        <w:rPr>
          <w:rFonts w:ascii="仿宋_GB2312" w:hAnsi="仿宋"/>
          <w:color w:val="000000"/>
          <w:sz w:val="32"/>
          <w:szCs w:val="32"/>
        </w:rPr>
      </w:pPr>
      <w:r>
        <w:rPr>
          <w:rFonts w:hint="eastAsia" w:ascii="仿宋_GB2312" w:hAnsi="仿宋"/>
          <w:color w:val="000000"/>
          <w:sz w:val="32"/>
          <w:szCs w:val="32"/>
        </w:rPr>
        <w:t>（3）时效指标</w:t>
      </w:r>
    </w:p>
    <w:p>
      <w:pPr>
        <w:spacing w:line="560" w:lineRule="exact"/>
        <w:ind w:firstLine="640"/>
        <w:rPr>
          <w:rFonts w:ascii="仿宋_GB2312" w:hAnsi="仿宋"/>
          <w:color w:val="000000"/>
          <w:sz w:val="32"/>
          <w:szCs w:val="32"/>
        </w:rPr>
      </w:pPr>
      <w:r>
        <w:rPr>
          <w:rFonts w:hint="eastAsia" w:ascii="仿宋_GB2312" w:hAnsi="仿宋"/>
          <w:color w:val="000000"/>
          <w:sz w:val="32"/>
          <w:szCs w:val="32"/>
        </w:rPr>
        <w:t>财政部下达的绩效目标未设定时效指标。</w:t>
      </w:r>
    </w:p>
    <w:p>
      <w:pPr>
        <w:spacing w:line="560" w:lineRule="exact"/>
        <w:ind w:firstLine="640"/>
        <w:rPr>
          <w:rFonts w:ascii="仿宋_GB2312" w:hAnsi="仿宋"/>
          <w:color w:val="000000"/>
          <w:sz w:val="32"/>
          <w:szCs w:val="32"/>
        </w:rPr>
      </w:pPr>
      <w:r>
        <w:rPr>
          <w:rFonts w:hint="eastAsia" w:ascii="仿宋_GB2312" w:hAnsi="仿宋"/>
          <w:color w:val="000000"/>
          <w:sz w:val="32"/>
          <w:szCs w:val="32"/>
        </w:rPr>
        <w:t>（4）成本指标</w:t>
      </w:r>
    </w:p>
    <w:p>
      <w:pPr>
        <w:spacing w:line="560" w:lineRule="exact"/>
        <w:ind w:firstLine="640"/>
        <w:rPr>
          <w:rFonts w:ascii="仿宋_GB2312" w:hAnsi="仿宋"/>
          <w:color w:val="000000"/>
          <w:sz w:val="32"/>
          <w:szCs w:val="32"/>
        </w:rPr>
      </w:pPr>
      <w:r>
        <w:rPr>
          <w:rFonts w:hint="eastAsia" w:ascii="仿宋_GB2312" w:hAnsi="仿宋"/>
          <w:color w:val="000000"/>
          <w:sz w:val="32"/>
          <w:szCs w:val="32"/>
        </w:rPr>
        <w:t>a.财政部随文下达补助中西部地区县城新建数字影院单厅金额指标，指标值为≤10万/厅，新疆实际完成10万/厅，完成率100%，偏差率0%。</w:t>
      </w:r>
    </w:p>
    <w:p>
      <w:pPr>
        <w:spacing w:line="560" w:lineRule="exact"/>
        <w:ind w:firstLine="640"/>
        <w:rPr>
          <w:rFonts w:ascii="仿宋_GB2312" w:hAnsi="仿宋"/>
          <w:color w:val="000000"/>
          <w:sz w:val="32"/>
          <w:szCs w:val="32"/>
        </w:rPr>
      </w:pPr>
      <w:r>
        <w:rPr>
          <w:rFonts w:hint="eastAsia" w:ascii="仿宋_GB2312" w:hAnsi="仿宋"/>
          <w:color w:val="000000"/>
          <w:sz w:val="32"/>
          <w:szCs w:val="32"/>
        </w:rPr>
        <w:t>b.财政部随文下达少数民族语影片译制补助指标，指标值为≤7万/部，新疆实际补助7万/部，完成率100%，偏差率0%。</w:t>
      </w:r>
    </w:p>
    <w:p>
      <w:pPr>
        <w:spacing w:line="560" w:lineRule="exact"/>
        <w:ind w:firstLine="640"/>
        <w:rPr>
          <w:rFonts w:ascii="仿宋_GB2312" w:hAnsi="仿宋"/>
          <w:b/>
          <w:bCs/>
          <w:color w:val="000000"/>
          <w:sz w:val="32"/>
          <w:szCs w:val="32"/>
        </w:rPr>
      </w:pPr>
      <w:r>
        <w:rPr>
          <w:rFonts w:hint="eastAsia" w:ascii="仿宋_GB2312" w:hAnsi="仿宋"/>
          <w:b/>
          <w:bCs/>
          <w:color w:val="000000"/>
          <w:sz w:val="32"/>
          <w:szCs w:val="32"/>
        </w:rPr>
        <w:t>2.效益指标完成情况分析</w:t>
      </w:r>
    </w:p>
    <w:p>
      <w:pPr>
        <w:spacing w:line="560" w:lineRule="exact"/>
        <w:ind w:firstLine="640"/>
        <w:rPr>
          <w:rFonts w:ascii="仿宋_GB2312" w:hAnsi="仿宋"/>
          <w:color w:val="000000"/>
          <w:sz w:val="32"/>
          <w:szCs w:val="32"/>
        </w:rPr>
      </w:pPr>
      <w:r>
        <w:rPr>
          <w:rFonts w:hint="eastAsia" w:ascii="仿宋_GB2312" w:hAnsi="仿宋"/>
          <w:color w:val="000000"/>
          <w:sz w:val="32"/>
          <w:szCs w:val="32"/>
        </w:rPr>
        <w:t>（1）经济效益</w:t>
      </w:r>
    </w:p>
    <w:p>
      <w:pPr>
        <w:spacing w:line="560" w:lineRule="exact"/>
        <w:ind w:firstLine="640"/>
        <w:rPr>
          <w:rFonts w:ascii="仿宋_GB2312" w:hAnsi="仿宋"/>
          <w:color w:val="000000"/>
          <w:sz w:val="32"/>
          <w:szCs w:val="32"/>
        </w:rPr>
      </w:pPr>
      <w:r>
        <w:rPr>
          <w:rFonts w:hint="eastAsia" w:ascii="仿宋_GB2312" w:hAnsi="仿宋"/>
          <w:color w:val="000000"/>
          <w:sz w:val="32"/>
          <w:szCs w:val="32"/>
        </w:rPr>
        <w:t>财政部随文下达国产影片票房收入比指标，指标值为≥55%，新疆实际完成82%，完成率149%，偏差率49%，指标偏差原因:受疫情影响，国外电影引进数量减少，国产影片排片占比增大，导致国产影片票房收入占比较高，造成指标偏差。</w:t>
      </w:r>
    </w:p>
    <w:p>
      <w:pPr>
        <w:spacing w:line="560" w:lineRule="exact"/>
        <w:ind w:firstLine="640"/>
        <w:rPr>
          <w:rFonts w:ascii="仿宋_GB2312" w:hAnsi="仿宋"/>
          <w:color w:val="000000"/>
          <w:sz w:val="32"/>
          <w:szCs w:val="32"/>
        </w:rPr>
      </w:pPr>
      <w:r>
        <w:rPr>
          <w:rFonts w:hint="eastAsia" w:ascii="仿宋_GB2312" w:hAnsi="仿宋"/>
          <w:color w:val="000000"/>
          <w:sz w:val="32"/>
          <w:szCs w:val="32"/>
        </w:rPr>
        <w:t>（2）社会效益</w:t>
      </w:r>
    </w:p>
    <w:p>
      <w:pPr>
        <w:spacing w:line="560" w:lineRule="exact"/>
        <w:ind w:firstLine="640"/>
        <w:rPr>
          <w:rFonts w:ascii="仿宋_GB2312" w:hAnsi="仿宋"/>
          <w:color w:val="000000"/>
          <w:sz w:val="32"/>
          <w:szCs w:val="32"/>
        </w:rPr>
      </w:pPr>
      <w:r>
        <w:rPr>
          <w:rFonts w:hint="eastAsia" w:ascii="仿宋_GB2312" w:hAnsi="仿宋"/>
          <w:color w:val="000000"/>
          <w:sz w:val="32"/>
          <w:szCs w:val="32"/>
        </w:rPr>
        <w:t>财政部随文下达国产影片观影人次增长指标，指标值为≥2%，新疆实际完成200%，完成率10000%，偏差率10000%，指标偏差原因:受疫情影响，2</w:t>
      </w:r>
      <w:r>
        <w:rPr>
          <w:rFonts w:ascii="仿宋_GB2312" w:hAnsi="仿宋"/>
          <w:color w:val="000000"/>
          <w:sz w:val="32"/>
          <w:szCs w:val="32"/>
        </w:rPr>
        <w:t>020年新疆影院正常营业时间在</w:t>
      </w:r>
      <w:r>
        <w:rPr>
          <w:rFonts w:hint="eastAsia" w:ascii="仿宋_GB2312" w:hAnsi="仿宋"/>
          <w:color w:val="000000"/>
          <w:sz w:val="32"/>
          <w:szCs w:val="32"/>
        </w:rPr>
        <w:t>3</w:t>
      </w:r>
      <w:r>
        <w:rPr>
          <w:rFonts w:ascii="仿宋_GB2312" w:hAnsi="仿宋"/>
          <w:color w:val="000000"/>
          <w:sz w:val="32"/>
          <w:szCs w:val="32"/>
        </w:rPr>
        <w:t>个月左右</w:t>
      </w:r>
      <w:r>
        <w:rPr>
          <w:rFonts w:hint="eastAsia" w:ascii="仿宋_GB2312" w:hAnsi="仿宋"/>
          <w:color w:val="000000"/>
          <w:sz w:val="32"/>
          <w:szCs w:val="32"/>
        </w:rPr>
        <w:t>，2</w:t>
      </w:r>
      <w:r>
        <w:rPr>
          <w:rFonts w:ascii="仿宋_GB2312" w:hAnsi="仿宋"/>
          <w:color w:val="000000"/>
          <w:sz w:val="32"/>
          <w:szCs w:val="32"/>
        </w:rPr>
        <w:t>021根据疫情防控要求</w:t>
      </w:r>
      <w:r>
        <w:rPr>
          <w:rFonts w:hint="eastAsia" w:ascii="仿宋_GB2312" w:hAnsi="仿宋"/>
          <w:color w:val="000000"/>
          <w:sz w:val="32"/>
          <w:szCs w:val="32"/>
        </w:rPr>
        <w:t>，</w:t>
      </w:r>
      <w:r>
        <w:rPr>
          <w:rFonts w:ascii="仿宋_GB2312" w:hAnsi="仿宋"/>
          <w:color w:val="000000"/>
          <w:sz w:val="32"/>
          <w:szCs w:val="32"/>
        </w:rPr>
        <w:t>大部分影院恢复正常营业</w:t>
      </w:r>
      <w:r>
        <w:rPr>
          <w:rFonts w:hint="eastAsia" w:ascii="仿宋_GB2312" w:hAnsi="仿宋"/>
          <w:color w:val="000000"/>
          <w:sz w:val="32"/>
          <w:szCs w:val="32"/>
        </w:rPr>
        <w:t>，观影人数比上年有大幅增加。</w:t>
      </w:r>
    </w:p>
    <w:p>
      <w:pPr>
        <w:spacing w:line="560" w:lineRule="exact"/>
        <w:ind w:firstLine="640"/>
        <w:rPr>
          <w:rFonts w:ascii="仿宋_GB2312" w:hAnsi="仿宋"/>
          <w:color w:val="000000"/>
          <w:sz w:val="32"/>
          <w:szCs w:val="32"/>
        </w:rPr>
      </w:pPr>
      <w:r>
        <w:rPr>
          <w:rFonts w:hint="eastAsia" w:ascii="仿宋_GB2312" w:hAnsi="仿宋"/>
          <w:color w:val="000000"/>
          <w:sz w:val="32"/>
          <w:szCs w:val="32"/>
        </w:rPr>
        <w:t>（3）生态效益</w:t>
      </w:r>
    </w:p>
    <w:p>
      <w:pPr>
        <w:spacing w:line="560" w:lineRule="exact"/>
        <w:ind w:firstLine="640"/>
        <w:rPr>
          <w:rFonts w:ascii="仿宋_GB2312" w:hAnsi="仿宋"/>
          <w:color w:val="000000"/>
          <w:sz w:val="32"/>
          <w:szCs w:val="32"/>
        </w:rPr>
      </w:pPr>
      <w:r>
        <w:rPr>
          <w:rFonts w:hint="eastAsia" w:ascii="仿宋_GB2312" w:hAnsi="仿宋"/>
          <w:color w:val="000000"/>
          <w:sz w:val="32"/>
          <w:szCs w:val="32"/>
        </w:rPr>
        <w:t>财政部下达的绩效目标未设定生态效益指标。</w:t>
      </w:r>
    </w:p>
    <w:p>
      <w:pPr>
        <w:spacing w:line="560" w:lineRule="exact"/>
        <w:ind w:firstLine="640"/>
        <w:rPr>
          <w:rFonts w:ascii="仿宋_GB2312" w:hAnsi="仿宋"/>
          <w:color w:val="000000"/>
          <w:sz w:val="32"/>
          <w:szCs w:val="32"/>
        </w:rPr>
      </w:pPr>
      <w:r>
        <w:rPr>
          <w:rFonts w:hint="eastAsia" w:ascii="仿宋_GB2312" w:hAnsi="仿宋"/>
          <w:color w:val="000000"/>
          <w:sz w:val="32"/>
          <w:szCs w:val="32"/>
        </w:rPr>
        <w:t>（4）可持续影响</w:t>
      </w:r>
    </w:p>
    <w:p>
      <w:pPr>
        <w:spacing w:line="560" w:lineRule="exact"/>
        <w:ind w:firstLine="640"/>
        <w:rPr>
          <w:rFonts w:ascii="仿宋_GB2312" w:hAnsi="仿宋"/>
          <w:color w:val="000000"/>
          <w:sz w:val="32"/>
          <w:szCs w:val="32"/>
        </w:rPr>
      </w:pPr>
      <w:r>
        <w:rPr>
          <w:rFonts w:hint="eastAsia" w:ascii="仿宋_GB2312" w:hAnsi="仿宋"/>
          <w:color w:val="000000"/>
          <w:sz w:val="32"/>
          <w:szCs w:val="32"/>
        </w:rPr>
        <w:t>财政部下达的绩效目标未设定可持续影响效益指标。</w:t>
      </w:r>
    </w:p>
    <w:p>
      <w:pPr>
        <w:spacing w:line="560" w:lineRule="exact"/>
        <w:ind w:firstLine="640"/>
        <w:rPr>
          <w:rFonts w:ascii="仿宋_GB2312" w:hAnsi="仿宋"/>
          <w:b/>
          <w:bCs/>
          <w:color w:val="000000"/>
          <w:sz w:val="32"/>
          <w:szCs w:val="32"/>
        </w:rPr>
      </w:pPr>
      <w:r>
        <w:rPr>
          <w:rFonts w:hint="eastAsia" w:ascii="仿宋_GB2312" w:hAnsi="仿宋"/>
          <w:b/>
          <w:bCs/>
          <w:color w:val="000000"/>
          <w:sz w:val="32"/>
          <w:szCs w:val="32"/>
        </w:rPr>
        <w:t>3.满意度指标完成情况分析</w:t>
      </w:r>
    </w:p>
    <w:p>
      <w:pPr>
        <w:spacing w:line="560" w:lineRule="exact"/>
        <w:ind w:firstLine="640"/>
        <w:rPr>
          <w:rFonts w:ascii="仿宋_GB2312" w:hAnsi="仿宋"/>
          <w:color w:val="000000"/>
          <w:sz w:val="32"/>
          <w:szCs w:val="32"/>
        </w:rPr>
      </w:pPr>
      <w:r>
        <w:rPr>
          <w:rFonts w:hint="eastAsia" w:ascii="仿宋_GB2312" w:hAnsi="仿宋"/>
          <w:color w:val="000000"/>
          <w:sz w:val="32"/>
          <w:szCs w:val="32"/>
        </w:rPr>
        <w:t>财政部随文下达观众对影院的满意度指标，指标值85分，新疆实际完成8</w:t>
      </w:r>
      <w:r>
        <w:rPr>
          <w:rFonts w:ascii="仿宋_GB2312" w:hAnsi="仿宋"/>
          <w:color w:val="000000"/>
          <w:sz w:val="32"/>
          <w:szCs w:val="32"/>
        </w:rPr>
        <w:t>6.4</w:t>
      </w:r>
      <w:r>
        <w:rPr>
          <w:rFonts w:hint="eastAsia" w:ascii="仿宋_GB2312" w:hAnsi="仿宋"/>
          <w:color w:val="000000"/>
          <w:sz w:val="32"/>
          <w:szCs w:val="32"/>
        </w:rPr>
        <w:t>分，完成率10</w:t>
      </w:r>
      <w:r>
        <w:rPr>
          <w:rFonts w:ascii="仿宋_GB2312" w:hAnsi="仿宋"/>
          <w:color w:val="000000"/>
          <w:sz w:val="32"/>
          <w:szCs w:val="32"/>
        </w:rPr>
        <w:t>1.65</w:t>
      </w:r>
      <w:r>
        <w:rPr>
          <w:rFonts w:hint="eastAsia" w:ascii="仿宋_GB2312" w:hAnsi="仿宋"/>
          <w:color w:val="000000"/>
          <w:sz w:val="32"/>
          <w:szCs w:val="32"/>
        </w:rPr>
        <w:t>%，偏差率</w:t>
      </w:r>
      <w:r>
        <w:rPr>
          <w:rFonts w:ascii="仿宋_GB2312" w:hAnsi="仿宋"/>
          <w:color w:val="000000"/>
          <w:sz w:val="32"/>
          <w:szCs w:val="32"/>
        </w:rPr>
        <w:t>1.65</w:t>
      </w:r>
      <w:r>
        <w:rPr>
          <w:rFonts w:hint="eastAsia" w:ascii="仿宋_GB2312" w:hAnsi="仿宋"/>
          <w:color w:val="000000"/>
          <w:sz w:val="32"/>
          <w:szCs w:val="32"/>
        </w:rPr>
        <w:t>%。</w:t>
      </w:r>
    </w:p>
    <w:p>
      <w:pPr>
        <w:spacing w:line="56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sz w:val="32"/>
          <w:szCs w:val="32"/>
        </w:rPr>
        <w:t>三、偏离绩效目标的原因和下一步改进措施</w:t>
      </w:r>
    </w:p>
    <w:p>
      <w:pPr>
        <w:spacing w:line="560" w:lineRule="exact"/>
        <w:ind w:firstLine="640" w:firstLineChars="200"/>
        <w:rPr>
          <w:rFonts w:ascii="楷体_GB2312" w:hAnsi="宋体" w:eastAsia="楷体_GB2312" w:cs="宋体"/>
          <w:bCs/>
          <w:color w:val="000000"/>
          <w:sz w:val="32"/>
          <w:szCs w:val="32"/>
        </w:rPr>
      </w:pPr>
      <w:r>
        <w:rPr>
          <w:rFonts w:hint="eastAsia" w:ascii="楷体_GB2312" w:hAnsi="宋体" w:eastAsia="楷体_GB2312" w:cs="宋体"/>
          <w:bCs/>
          <w:color w:val="000000"/>
          <w:sz w:val="32"/>
          <w:szCs w:val="32"/>
        </w:rPr>
        <w:t>（一）偏离绩效目标的原因</w:t>
      </w:r>
    </w:p>
    <w:p>
      <w:pPr>
        <w:spacing w:line="560" w:lineRule="exact"/>
        <w:ind w:firstLine="642" w:firstLineChars="200"/>
        <w:rPr>
          <w:rFonts w:ascii="仿宋_GB2312" w:hAnsi="仿宋"/>
          <w:b/>
          <w:bCs/>
          <w:color w:val="000000"/>
          <w:sz w:val="32"/>
          <w:szCs w:val="32"/>
        </w:rPr>
      </w:pPr>
      <w:r>
        <w:rPr>
          <w:rFonts w:hint="eastAsia" w:ascii="仿宋_GB2312" w:hAnsi="仿宋"/>
          <w:b/>
          <w:bCs/>
          <w:color w:val="000000"/>
          <w:sz w:val="32"/>
          <w:szCs w:val="32"/>
        </w:rPr>
        <w:t>1.超额完成指标偏差原因：</w:t>
      </w:r>
    </w:p>
    <w:p>
      <w:pPr>
        <w:spacing w:line="544" w:lineRule="exact"/>
        <w:ind w:firstLine="640" w:firstLineChars="200"/>
        <w:rPr>
          <w:rFonts w:ascii="仿宋_GB2312" w:hAnsi="仿宋"/>
          <w:color w:val="000000"/>
          <w:sz w:val="32"/>
          <w:szCs w:val="32"/>
        </w:rPr>
      </w:pPr>
      <w:r>
        <w:rPr>
          <w:rFonts w:hint="eastAsia" w:ascii="仿宋_GB2312" w:hAnsi="仿宋"/>
          <w:color w:val="000000"/>
          <w:sz w:val="32"/>
          <w:szCs w:val="32"/>
        </w:rPr>
        <w:t>（1）完成率超出30%及以上指标</w:t>
      </w:r>
    </w:p>
    <w:p>
      <w:pPr>
        <w:spacing w:line="544" w:lineRule="exact"/>
        <w:ind w:firstLine="640" w:firstLineChars="200"/>
        <w:rPr>
          <w:rFonts w:ascii="仿宋_GB2312" w:hAnsi="仿宋"/>
          <w:color w:val="000000"/>
          <w:sz w:val="32"/>
          <w:szCs w:val="32"/>
        </w:rPr>
      </w:pPr>
      <w:r>
        <w:rPr>
          <w:rFonts w:ascii="仿宋_GB2312" w:hAnsi="仿宋"/>
          <w:color w:val="000000"/>
          <w:sz w:val="32"/>
          <w:szCs w:val="32"/>
        </w:rPr>
        <w:t>a.</w:t>
      </w:r>
      <w:r>
        <w:rPr>
          <w:rFonts w:hint="eastAsia" w:ascii="仿宋_GB2312" w:hAnsi="仿宋"/>
          <w:color w:val="000000"/>
          <w:sz w:val="32"/>
          <w:szCs w:val="32"/>
        </w:rPr>
        <w:t>国产影片票房收入占总票房收入比指标，指标偏差原因为受疫情影响，国产影片排片占比增大，导致国产影片票房收入占比较高，造成指标偏差。</w:t>
      </w:r>
    </w:p>
    <w:p>
      <w:pPr>
        <w:spacing w:line="544" w:lineRule="exact"/>
        <w:ind w:firstLine="640" w:firstLineChars="200"/>
        <w:rPr>
          <w:rFonts w:ascii="仿宋_GB2312" w:hAnsi="仿宋"/>
          <w:color w:val="000000"/>
          <w:sz w:val="32"/>
          <w:szCs w:val="32"/>
        </w:rPr>
      </w:pPr>
      <w:r>
        <w:rPr>
          <w:rFonts w:ascii="仿宋_GB2312" w:hAnsi="仿宋"/>
          <w:color w:val="000000"/>
          <w:sz w:val="32"/>
          <w:szCs w:val="32"/>
        </w:rPr>
        <w:t>b</w:t>
      </w:r>
      <w:r>
        <w:rPr>
          <w:rFonts w:hint="eastAsia" w:ascii="仿宋_GB2312" w:hAnsi="仿宋"/>
          <w:color w:val="000000"/>
          <w:sz w:val="32"/>
          <w:szCs w:val="32"/>
        </w:rPr>
        <w:t>.国产影片观影人次增长指标，指标偏差原因为受疫情影响，2</w:t>
      </w:r>
      <w:r>
        <w:rPr>
          <w:rFonts w:ascii="仿宋_GB2312" w:hAnsi="仿宋"/>
          <w:color w:val="000000"/>
          <w:sz w:val="32"/>
          <w:szCs w:val="32"/>
        </w:rPr>
        <w:t>020年新疆影院正常营业时间在</w:t>
      </w:r>
      <w:r>
        <w:rPr>
          <w:rFonts w:hint="eastAsia" w:ascii="仿宋_GB2312" w:hAnsi="仿宋"/>
          <w:color w:val="000000"/>
          <w:sz w:val="32"/>
          <w:szCs w:val="32"/>
        </w:rPr>
        <w:t>3</w:t>
      </w:r>
      <w:r>
        <w:rPr>
          <w:rFonts w:ascii="仿宋_GB2312" w:hAnsi="仿宋"/>
          <w:color w:val="000000"/>
          <w:sz w:val="32"/>
          <w:szCs w:val="32"/>
        </w:rPr>
        <w:t>个月左右</w:t>
      </w:r>
      <w:r>
        <w:rPr>
          <w:rFonts w:hint="eastAsia" w:ascii="仿宋_GB2312" w:hAnsi="仿宋"/>
          <w:color w:val="000000"/>
          <w:sz w:val="32"/>
          <w:szCs w:val="32"/>
        </w:rPr>
        <w:t>，2</w:t>
      </w:r>
      <w:r>
        <w:rPr>
          <w:rFonts w:ascii="仿宋_GB2312" w:hAnsi="仿宋"/>
          <w:color w:val="000000"/>
          <w:sz w:val="32"/>
          <w:szCs w:val="32"/>
        </w:rPr>
        <w:t>021根据疫情防控要求</w:t>
      </w:r>
      <w:r>
        <w:rPr>
          <w:rFonts w:hint="eastAsia" w:ascii="仿宋_GB2312" w:hAnsi="仿宋"/>
          <w:color w:val="000000"/>
          <w:sz w:val="32"/>
          <w:szCs w:val="32"/>
        </w:rPr>
        <w:t>，</w:t>
      </w:r>
      <w:r>
        <w:rPr>
          <w:rFonts w:ascii="仿宋_GB2312" w:hAnsi="仿宋"/>
          <w:color w:val="000000"/>
          <w:sz w:val="32"/>
          <w:szCs w:val="32"/>
        </w:rPr>
        <w:t>大部分影院恢复正常营业</w:t>
      </w:r>
      <w:r>
        <w:rPr>
          <w:rFonts w:hint="eastAsia" w:ascii="仿宋_GB2312" w:hAnsi="仿宋"/>
          <w:color w:val="000000"/>
          <w:sz w:val="32"/>
          <w:szCs w:val="32"/>
        </w:rPr>
        <w:t>，观影人数比上年有大幅增加。</w:t>
      </w:r>
    </w:p>
    <w:p>
      <w:pPr>
        <w:spacing w:line="560" w:lineRule="exact"/>
        <w:ind w:firstLine="642" w:firstLineChars="200"/>
        <w:rPr>
          <w:rFonts w:ascii="仿宋_GB2312" w:hAnsi="仿宋"/>
          <w:b/>
          <w:bCs/>
          <w:color w:val="000000"/>
          <w:sz w:val="32"/>
          <w:szCs w:val="32"/>
        </w:rPr>
      </w:pPr>
      <w:r>
        <w:rPr>
          <w:rFonts w:hint="eastAsia" w:ascii="仿宋_GB2312" w:hAnsi="仿宋"/>
          <w:b/>
          <w:bCs/>
          <w:color w:val="000000"/>
          <w:sz w:val="32"/>
          <w:szCs w:val="32"/>
        </w:rPr>
        <w:t>2.下一步改进措施</w:t>
      </w:r>
    </w:p>
    <w:p>
      <w:pPr>
        <w:spacing w:line="560" w:lineRule="exact"/>
        <w:ind w:firstLine="640" w:firstLineChars="200"/>
        <w:rPr>
          <w:rFonts w:ascii="仿宋_GB2312" w:hAnsi="仿宋"/>
          <w:color w:val="000000"/>
          <w:sz w:val="32"/>
          <w:szCs w:val="32"/>
        </w:rPr>
      </w:pPr>
      <w:r>
        <w:rPr>
          <w:rFonts w:hint="eastAsia" w:ascii="仿宋_GB2312" w:hAnsi="仿宋"/>
          <w:color w:val="000000"/>
          <w:sz w:val="32"/>
          <w:szCs w:val="32"/>
        </w:rPr>
        <w:t>（1）项目实施过程中存在问题</w:t>
      </w:r>
    </w:p>
    <w:p>
      <w:pPr>
        <w:spacing w:line="560" w:lineRule="exact"/>
        <w:ind w:firstLine="640" w:firstLineChars="200"/>
        <w:rPr>
          <w:rFonts w:ascii="仿宋_GB2312" w:hAnsi="仿宋"/>
          <w:sz w:val="32"/>
          <w:szCs w:val="32"/>
        </w:rPr>
      </w:pPr>
      <w:r>
        <w:rPr>
          <w:rFonts w:hint="eastAsia" w:ascii="仿宋_GB2312" w:hAnsi="仿宋"/>
          <w:color w:val="000000"/>
          <w:sz w:val="32"/>
          <w:szCs w:val="32"/>
        </w:rPr>
        <w:t>拨付新疆广播影视译制中心国家电影事业发展专项资金490万元，实际支出162.95万元，结转结余327.05万元。</w:t>
      </w:r>
      <w:r>
        <w:rPr>
          <w:rFonts w:hint="eastAsia" w:ascii="仿宋_GB2312" w:hAnsi="仿宋"/>
          <w:sz w:val="32"/>
          <w:szCs w:val="32"/>
        </w:rPr>
        <w:t>主要原因一是译制生产绩效考核工作于2022年1月完成，劳务费用未能及时支付；二是数字电影译制设备升级维护工作尚未完成。</w:t>
      </w:r>
    </w:p>
    <w:p>
      <w:pPr>
        <w:spacing w:line="560" w:lineRule="exact"/>
        <w:ind w:firstLine="640"/>
        <w:rPr>
          <w:rFonts w:ascii="仿宋_GB2312" w:hAnsi="仿宋"/>
          <w:color w:val="000000"/>
          <w:sz w:val="32"/>
          <w:szCs w:val="32"/>
        </w:rPr>
      </w:pPr>
      <w:r>
        <w:rPr>
          <w:rFonts w:hint="eastAsia" w:ascii="仿宋_GB2312" w:hAnsi="仿宋"/>
          <w:color w:val="000000"/>
          <w:sz w:val="32"/>
          <w:szCs w:val="32"/>
        </w:rPr>
        <w:t>（2）下一步工作实施改进措施</w:t>
      </w:r>
    </w:p>
    <w:p>
      <w:pPr>
        <w:spacing w:line="560" w:lineRule="exact"/>
        <w:ind w:firstLine="640"/>
        <w:rPr>
          <w:rFonts w:ascii="仿宋_GB2312" w:hAnsi="仿宋"/>
          <w:color w:val="000000"/>
          <w:sz w:val="32"/>
          <w:szCs w:val="32"/>
        </w:rPr>
      </w:pPr>
      <w:r>
        <w:rPr>
          <w:rFonts w:hint="eastAsia" w:ascii="仿宋_GB2312" w:hAnsi="仿宋"/>
          <w:color w:val="000000"/>
          <w:sz w:val="32"/>
          <w:szCs w:val="32"/>
        </w:rPr>
        <w:t>严格按照《财政部 国家新闻出版广电总局关于印发〈国家电影事业发展专项资金征收使用管理办法〉的通知》（财税〔2015〕91号）、《财政部 中央宣传部关于印发〈中央级国家电影事业发展专项资金预算管理办法〉的通知》（财教〔2019〕260号）要求，及时支付劳务费用和设备维护保养费用，加快预算执行进度，确保在2022年6月底前完成结转资金支付和项目结项验收工作。</w:t>
      </w:r>
    </w:p>
    <w:p>
      <w:pPr>
        <w:spacing w:line="560" w:lineRule="exact"/>
        <w:ind w:firstLine="640"/>
        <w:rPr>
          <w:rFonts w:ascii="黑体" w:hAnsi="黑体" w:eastAsia="黑体" w:cs="黑体"/>
          <w:bCs/>
          <w:color w:val="000000"/>
          <w:sz w:val="32"/>
          <w:szCs w:val="32"/>
        </w:rPr>
      </w:pPr>
      <w:r>
        <w:rPr>
          <w:rFonts w:hint="eastAsia" w:ascii="黑体" w:hAnsi="黑体" w:eastAsia="黑体" w:cs="黑体"/>
          <w:bCs/>
          <w:color w:val="000000"/>
          <w:sz w:val="32"/>
          <w:szCs w:val="32"/>
        </w:rPr>
        <w:t>四、绩效自评结果及拟应用和公开情况</w:t>
      </w:r>
    </w:p>
    <w:p>
      <w:pPr>
        <w:spacing w:line="560" w:lineRule="exact"/>
        <w:ind w:firstLine="640" w:firstLineChars="200"/>
        <w:rPr>
          <w:rFonts w:ascii="仿宋_GB2312" w:hAnsi="仿宋"/>
          <w:color w:val="000000"/>
          <w:sz w:val="32"/>
          <w:szCs w:val="32"/>
        </w:rPr>
      </w:pPr>
      <w:r>
        <w:rPr>
          <w:rFonts w:hint="eastAsia" w:ascii="仿宋_GB2312" w:hAnsi="仿宋"/>
          <w:color w:val="000000"/>
          <w:sz w:val="32"/>
          <w:szCs w:val="32"/>
        </w:rPr>
        <w:t>（一）按照财政部《项目支出绩效评价管理办法》（财预〔2020〕10号）规定，</w:t>
      </w:r>
      <w:r>
        <w:rPr>
          <w:rFonts w:hint="eastAsia" w:ascii="仿宋_GB2312" w:hAnsi="仿宋"/>
          <w:sz w:val="32"/>
          <w:szCs w:val="32"/>
        </w:rPr>
        <w:t>自评标准是：预算执行10分、产出指标50分、效益指标30分、服务对象满意度指标10分。</w:t>
      </w:r>
      <w:r>
        <w:rPr>
          <w:rFonts w:hint="eastAsia" w:ascii="仿宋_GB2312" w:hAnsi="仿宋"/>
          <w:color w:val="000000"/>
          <w:sz w:val="32"/>
          <w:szCs w:val="32"/>
        </w:rPr>
        <w:t>经自评，2021年度中央补助地方国家电影事业发展专项资金绩效自评得分为94分，其中：预算执行</w:t>
      </w:r>
      <w:r>
        <w:rPr>
          <w:rFonts w:ascii="仿宋_GB2312" w:hAnsi="仿宋"/>
          <w:color w:val="000000"/>
          <w:sz w:val="32"/>
          <w:szCs w:val="32"/>
        </w:rPr>
        <w:t>7</w:t>
      </w:r>
      <w:r>
        <w:rPr>
          <w:rFonts w:hint="eastAsia" w:ascii="仿宋_GB2312" w:hAnsi="仿宋"/>
          <w:color w:val="000000"/>
          <w:sz w:val="32"/>
          <w:szCs w:val="32"/>
        </w:rPr>
        <w:t>分、产出指标</w:t>
      </w:r>
      <w:r>
        <w:rPr>
          <w:rFonts w:ascii="仿宋_GB2312" w:hAnsi="仿宋"/>
          <w:color w:val="000000"/>
          <w:sz w:val="32"/>
          <w:szCs w:val="32"/>
        </w:rPr>
        <w:t>50</w:t>
      </w:r>
      <w:r>
        <w:rPr>
          <w:rFonts w:hint="eastAsia" w:ascii="仿宋_GB2312" w:hAnsi="仿宋"/>
          <w:color w:val="000000"/>
          <w:sz w:val="32"/>
          <w:szCs w:val="32"/>
        </w:rPr>
        <w:t>分、效益指标</w:t>
      </w:r>
      <w:r>
        <w:rPr>
          <w:rFonts w:ascii="仿宋_GB2312" w:hAnsi="仿宋"/>
          <w:color w:val="000000"/>
          <w:sz w:val="32"/>
          <w:szCs w:val="32"/>
        </w:rPr>
        <w:t>27</w:t>
      </w:r>
      <w:r>
        <w:rPr>
          <w:rFonts w:hint="eastAsia" w:ascii="仿宋_GB2312" w:hAnsi="仿宋"/>
          <w:color w:val="000000"/>
          <w:sz w:val="32"/>
          <w:szCs w:val="32"/>
        </w:rPr>
        <w:t>分、服务对象满意度指标10分，自评结果为“优”。</w:t>
      </w:r>
    </w:p>
    <w:p>
      <w:pPr>
        <w:spacing w:line="560" w:lineRule="exact"/>
        <w:ind w:firstLine="640" w:firstLineChars="200"/>
        <w:rPr>
          <w:rFonts w:ascii="仿宋_GB2312" w:hAnsi="仿宋"/>
          <w:color w:val="000000"/>
          <w:sz w:val="32"/>
          <w:szCs w:val="32"/>
        </w:rPr>
      </w:pPr>
      <w:r>
        <w:rPr>
          <w:rFonts w:hint="eastAsia" w:ascii="仿宋_GB2312" w:hAnsi="仿宋"/>
          <w:color w:val="000000"/>
          <w:sz w:val="32"/>
          <w:szCs w:val="32"/>
        </w:rPr>
        <w:t>（二）自治区党委宣传部按照项目实施方案的要求，对中央补助地方国家电影事业发展专项资金项目实施全面绩效管理，按照“谁使用、谁负责”的责任机制，组织相关项目实施单位开展项目绩效“事前申报、事中监管、事后自评”全过程管理。以绩效评价结果应用为依据，不断加大补助资金监管力度，加强补助资金监督检查，切实增强资金使用单位的支出责任和效率意识，确保专项资金发挥实效。</w:t>
      </w:r>
    </w:p>
    <w:p>
      <w:pPr>
        <w:spacing w:line="560" w:lineRule="exact"/>
        <w:ind w:firstLine="640" w:firstLineChars="200"/>
        <w:rPr>
          <w:rFonts w:ascii="仿宋_GB2312" w:hAnsi="仿宋"/>
          <w:color w:val="000000"/>
          <w:sz w:val="32"/>
          <w:szCs w:val="32"/>
        </w:rPr>
      </w:pPr>
      <w:r>
        <w:rPr>
          <w:rFonts w:hint="eastAsia" w:ascii="仿宋_GB2312" w:hAnsi="仿宋"/>
          <w:color w:val="000000"/>
          <w:sz w:val="32"/>
          <w:szCs w:val="32"/>
        </w:rPr>
        <w:t>（三）评价结果将在</w:t>
      </w:r>
      <w:r>
        <w:rPr>
          <w:rFonts w:hint="eastAsia" w:ascii="仿宋_GB2312" w:hAnsi="仿宋"/>
          <w:color w:val="000000"/>
          <w:sz w:val="32"/>
          <w:szCs w:val="32"/>
          <w:lang w:eastAsia="zh-CN"/>
        </w:rPr>
        <w:t>天山网</w:t>
      </w:r>
      <w:r>
        <w:rPr>
          <w:rFonts w:hint="eastAsia" w:ascii="仿宋_GB2312" w:hAnsi="仿宋"/>
          <w:color w:val="000000"/>
          <w:sz w:val="32"/>
          <w:szCs w:val="32"/>
        </w:rPr>
        <w:t>、自治区财政厅门户网站进行公示公开，广泛接受社会监督。</w:t>
      </w:r>
    </w:p>
    <w:p>
      <w:pPr>
        <w:spacing w:line="560" w:lineRule="exact"/>
        <w:ind w:firstLine="633" w:firstLineChars="198"/>
        <w:rPr>
          <w:rFonts w:ascii="仿宋_GB2312" w:hAnsi="仿宋" w:cs="宋体"/>
          <w:color w:val="000000"/>
          <w:kern w:val="0"/>
          <w:sz w:val="32"/>
          <w:szCs w:val="32"/>
        </w:rPr>
      </w:pPr>
      <w:r>
        <w:rPr>
          <w:rFonts w:hint="eastAsia" w:ascii="黑体" w:hAnsi="黑体" w:eastAsia="黑体" w:cs="黑体"/>
          <w:bCs/>
          <w:color w:val="000000"/>
          <w:sz w:val="32"/>
          <w:szCs w:val="32"/>
        </w:rPr>
        <w:t>五、其他需要说明的问题</w:t>
      </w:r>
    </w:p>
    <w:p>
      <w:pPr>
        <w:spacing w:line="560" w:lineRule="exact"/>
        <w:ind w:firstLine="640" w:firstLineChars="200"/>
        <w:rPr>
          <w:rFonts w:ascii="仿宋_GB2312" w:hAnsi="仿宋"/>
          <w:bCs/>
          <w:color w:val="000000"/>
          <w:sz w:val="32"/>
          <w:szCs w:val="32"/>
        </w:rPr>
      </w:pPr>
      <w:r>
        <w:rPr>
          <w:rFonts w:hint="eastAsia" w:ascii="仿宋_GB2312" w:hAnsi="仿宋"/>
          <w:bCs/>
          <w:color w:val="000000"/>
          <w:sz w:val="32"/>
          <w:szCs w:val="32"/>
        </w:rPr>
        <w:t>中央巡视、各级审计和财政监督中未发现问题。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
          <w:bCs/>
          <w:color w:val="000000"/>
          <w:sz w:val="32"/>
          <w:szCs w:val="32"/>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仿宋_GB2312" w:hAnsi="仿宋"/>
          <w:bCs/>
          <w:color w:val="FF0000"/>
          <w:sz w:val="32"/>
          <w:szCs w:val="32"/>
        </w:rPr>
      </w:pPr>
      <w:r>
        <w:rPr>
          <w:rFonts w:hint="eastAsia" w:ascii="仿宋_GB2312" w:hAnsi="仿宋"/>
          <w:color w:val="000000"/>
          <w:sz w:val="32"/>
          <w:szCs w:val="32"/>
          <w:lang w:val="en-US" w:eastAsia="zh-CN"/>
        </w:rPr>
        <w:t xml:space="preserve">    </w:t>
      </w:r>
      <w:r>
        <w:rPr>
          <w:rFonts w:hint="eastAsia" w:ascii="仿宋_GB2312" w:hAnsi="仿宋"/>
          <w:color w:val="000000"/>
          <w:sz w:val="32"/>
          <w:szCs w:val="32"/>
        </w:rPr>
        <w:t>附件：国家电影事业发展专项资金补助地方资金区域绩效目</w:t>
      </w:r>
      <w:r>
        <w:rPr>
          <w:rFonts w:hint="eastAsia" w:ascii="仿宋_GB2312" w:hAnsi="仿宋"/>
          <w:color w:val="000000"/>
          <w:sz w:val="32"/>
          <w:szCs w:val="32"/>
          <w:lang w:val="en-US" w:eastAsia="zh-CN"/>
        </w:rPr>
        <w:tab/>
      </w:r>
      <w:r>
        <w:rPr>
          <w:rFonts w:hint="eastAsia" w:ascii="仿宋_GB2312" w:hAnsi="仿宋"/>
          <w:color w:val="000000"/>
          <w:sz w:val="32"/>
          <w:szCs w:val="32"/>
          <w:lang w:val="en-US" w:eastAsia="zh-CN"/>
        </w:rPr>
        <w:tab/>
      </w:r>
      <w:r>
        <w:rPr>
          <w:rFonts w:hint="eastAsia" w:ascii="仿宋_GB2312" w:hAnsi="仿宋"/>
          <w:color w:val="000000"/>
          <w:sz w:val="32"/>
          <w:szCs w:val="32"/>
          <w:lang w:val="en-US" w:eastAsia="zh-CN"/>
        </w:rPr>
        <w:tab/>
      </w:r>
      <w:r>
        <w:rPr>
          <w:rFonts w:hint="eastAsia" w:ascii="仿宋_GB2312" w:hAnsi="仿宋"/>
          <w:color w:val="000000"/>
          <w:sz w:val="32"/>
          <w:szCs w:val="32"/>
          <w:lang w:val="en-US" w:eastAsia="zh-CN"/>
        </w:rPr>
        <w:t xml:space="preserve"> </w:t>
      </w:r>
      <w:r>
        <w:rPr>
          <w:rFonts w:hint="eastAsia" w:ascii="仿宋_GB2312" w:hAnsi="仿宋"/>
          <w:color w:val="000000"/>
          <w:sz w:val="32"/>
          <w:szCs w:val="32"/>
        </w:rPr>
        <w:t>标自评表</w:t>
      </w:r>
      <w:r>
        <w:rPr>
          <w:rFonts w:hint="eastAsia" w:ascii="仿宋_GB2312" w:hAnsi="仿宋"/>
          <w:color w:val="000000"/>
          <w:sz w:val="32"/>
          <w:szCs w:val="32"/>
        </w:rPr>
        <w:br w:type="page"/>
      </w:r>
    </w:p>
    <w:tbl>
      <w:tblPr>
        <w:tblStyle w:val="5"/>
        <w:tblW w:w="9039" w:type="dxa"/>
        <w:jc w:val="center"/>
        <w:tblLayout w:type="fixed"/>
        <w:tblCellMar>
          <w:top w:w="0" w:type="dxa"/>
          <w:left w:w="108" w:type="dxa"/>
          <w:bottom w:w="0" w:type="dxa"/>
          <w:right w:w="108" w:type="dxa"/>
        </w:tblCellMar>
      </w:tblPr>
      <w:tblGrid>
        <w:gridCol w:w="675"/>
        <w:gridCol w:w="841"/>
        <w:gridCol w:w="850"/>
        <w:gridCol w:w="1134"/>
        <w:gridCol w:w="1134"/>
        <w:gridCol w:w="851"/>
        <w:gridCol w:w="142"/>
        <w:gridCol w:w="992"/>
        <w:gridCol w:w="1026"/>
        <w:gridCol w:w="1394"/>
      </w:tblGrid>
      <w:tr>
        <w:tblPrEx>
          <w:tblCellMar>
            <w:top w:w="0" w:type="dxa"/>
            <w:left w:w="108" w:type="dxa"/>
            <w:bottom w:w="0" w:type="dxa"/>
            <w:right w:w="108" w:type="dxa"/>
          </w:tblCellMar>
        </w:tblPrEx>
        <w:trPr>
          <w:cantSplit/>
          <w:trHeight w:val="397" w:hRule="atLeast"/>
          <w:jc w:val="center"/>
        </w:trPr>
        <w:tc>
          <w:tcPr>
            <w:tcW w:w="9039" w:type="dxa"/>
            <w:gridSpan w:val="10"/>
            <w:tcBorders>
              <w:top w:val="nil"/>
              <w:left w:val="nil"/>
              <w:right w:val="nil"/>
            </w:tcBorders>
            <w:vAlign w:val="center"/>
          </w:tcPr>
          <w:p>
            <w:pPr>
              <w:widowControl/>
              <w:jc w:val="center"/>
              <w:textAlignment w:val="top"/>
              <w:rPr>
                <w:rFonts w:ascii="仿宋_GB2312" w:hAnsi="宋体" w:cs="仿宋_GB2312"/>
                <w:b/>
                <w:bCs/>
                <w:color w:val="000000"/>
                <w:sz w:val="32"/>
                <w:szCs w:val="32"/>
              </w:rPr>
            </w:pPr>
            <w:r>
              <w:rPr>
                <w:rFonts w:hint="eastAsia" w:ascii="仿宋_GB2312" w:hAnsi="宋体" w:cs="仿宋_GB2312"/>
                <w:b/>
                <w:bCs/>
                <w:color w:val="000000"/>
                <w:kern w:val="0"/>
                <w:sz w:val="32"/>
                <w:szCs w:val="32"/>
                <w:lang w:bidi="ar"/>
              </w:rPr>
              <w:t>国家电影事业发展专项资金补助地方资金区域绩效目标自评表</w:t>
            </w:r>
          </w:p>
        </w:tc>
      </w:tr>
      <w:tr>
        <w:tblPrEx>
          <w:tblCellMar>
            <w:top w:w="0" w:type="dxa"/>
            <w:left w:w="108" w:type="dxa"/>
            <w:bottom w:w="0" w:type="dxa"/>
            <w:right w:w="108" w:type="dxa"/>
          </w:tblCellMar>
        </w:tblPrEx>
        <w:trPr>
          <w:cantSplit/>
          <w:trHeight w:val="397" w:hRule="atLeast"/>
          <w:jc w:val="center"/>
        </w:trPr>
        <w:tc>
          <w:tcPr>
            <w:tcW w:w="9039" w:type="dxa"/>
            <w:gridSpan w:val="10"/>
            <w:tcBorders>
              <w:bottom w:val="single" w:color="auto" w:sz="4" w:space="0"/>
            </w:tcBorders>
            <w:vAlign w:val="center"/>
          </w:tcPr>
          <w:p>
            <w:pPr>
              <w:widowControl/>
              <w:spacing w:line="320" w:lineRule="exact"/>
              <w:jc w:val="center"/>
              <w:textAlignment w:val="top"/>
              <w:rPr>
                <w:rFonts w:ascii="仿宋_GB2312" w:hAnsi="宋体" w:cs="仿宋_GB2312"/>
                <w:b/>
                <w:bCs/>
                <w:color w:val="000000"/>
                <w:sz w:val="24"/>
              </w:rPr>
            </w:pPr>
            <w:r>
              <w:rPr>
                <w:rFonts w:hint="eastAsia" w:ascii="仿宋_GB2312" w:hAnsi="宋体" w:cs="仿宋_GB2312"/>
                <w:b/>
                <w:bCs/>
                <w:color w:val="000000"/>
                <w:kern w:val="0"/>
                <w:sz w:val="24"/>
                <w:lang w:bidi="ar"/>
              </w:rPr>
              <w:t>（</w:t>
            </w:r>
            <w:r>
              <w:rPr>
                <w:rStyle w:val="20"/>
                <w:rFonts w:hint="default" w:ascii="仿宋_GB2312" w:eastAsia="仿宋_GB2312"/>
                <w:b/>
                <w:bCs/>
                <w:sz w:val="24"/>
                <w:szCs w:val="24"/>
                <w:lang w:bidi="ar"/>
              </w:rPr>
              <w:t>2021</w:t>
            </w:r>
            <w:r>
              <w:rPr>
                <w:rStyle w:val="21"/>
                <w:rFonts w:hint="default" w:hAnsi="宋体"/>
                <w:b/>
                <w:bCs/>
                <w:sz w:val="24"/>
                <w:szCs w:val="24"/>
                <w:lang w:bidi="ar"/>
              </w:rPr>
              <w:t>年度）</w:t>
            </w:r>
          </w:p>
        </w:tc>
      </w:tr>
      <w:tr>
        <w:tblPrEx>
          <w:tblCellMar>
            <w:top w:w="0" w:type="dxa"/>
            <w:left w:w="108" w:type="dxa"/>
            <w:bottom w:w="0" w:type="dxa"/>
            <w:right w:w="108" w:type="dxa"/>
          </w:tblCellMar>
        </w:tblPrEx>
        <w:trPr>
          <w:cantSplit/>
          <w:trHeight w:val="571" w:hRule="atLeast"/>
          <w:jc w:val="center"/>
        </w:trPr>
        <w:tc>
          <w:tcPr>
            <w:tcW w:w="350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转移支付（项目）</w:t>
            </w:r>
            <w:r>
              <w:rPr>
                <w:rStyle w:val="11"/>
                <w:rFonts w:hint="default" w:ascii="仿宋_GB2312" w:eastAsia="仿宋_GB2312"/>
                <w:sz w:val="21"/>
                <w:szCs w:val="21"/>
                <w:lang w:bidi="ar"/>
              </w:rPr>
              <w:t>名称</w:t>
            </w:r>
          </w:p>
        </w:tc>
        <w:tc>
          <w:tcPr>
            <w:tcW w:w="5539"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国家电影事业发展专项资金补助地方资金</w:t>
            </w:r>
          </w:p>
        </w:tc>
      </w:tr>
      <w:tr>
        <w:tblPrEx>
          <w:tblCellMar>
            <w:top w:w="0" w:type="dxa"/>
            <w:left w:w="108" w:type="dxa"/>
            <w:bottom w:w="0" w:type="dxa"/>
            <w:right w:w="108" w:type="dxa"/>
          </w:tblCellMar>
        </w:tblPrEx>
        <w:trPr>
          <w:cantSplit/>
          <w:trHeight w:val="397" w:hRule="atLeast"/>
          <w:jc w:val="center"/>
        </w:trPr>
        <w:tc>
          <w:tcPr>
            <w:tcW w:w="1516" w:type="dxa"/>
            <w:gridSpan w:val="2"/>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中央主管部门</w:t>
            </w:r>
          </w:p>
        </w:tc>
        <w:tc>
          <w:tcPr>
            <w:tcW w:w="7523" w:type="dxa"/>
            <w:gridSpan w:val="8"/>
            <w:tcBorders>
              <w:top w:val="single" w:color="auto" w:sz="4"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中共中央宣传部</w:t>
            </w:r>
          </w:p>
        </w:tc>
      </w:tr>
      <w:tr>
        <w:tblPrEx>
          <w:tblCellMar>
            <w:top w:w="0" w:type="dxa"/>
            <w:left w:w="108" w:type="dxa"/>
            <w:bottom w:w="0" w:type="dxa"/>
            <w:right w:w="108" w:type="dxa"/>
          </w:tblCellMar>
        </w:tblPrEx>
        <w:trPr>
          <w:cantSplit/>
          <w:trHeight w:val="397" w:hRule="atLeast"/>
          <w:jc w:val="center"/>
        </w:trPr>
        <w:tc>
          <w:tcPr>
            <w:tcW w:w="15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地方主管部门</w:t>
            </w:r>
          </w:p>
        </w:tc>
        <w:tc>
          <w:tcPr>
            <w:tcW w:w="1984" w:type="dxa"/>
            <w:gridSpan w:val="2"/>
            <w:tcBorders>
              <w:top w:val="nil"/>
              <w:left w:val="single" w:color="auto" w:sz="4" w:space="0"/>
              <w:bottom w:val="nil"/>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中共新疆维吾尔自治区委员会宣传部</w:t>
            </w:r>
          </w:p>
        </w:tc>
        <w:tc>
          <w:tcPr>
            <w:tcW w:w="1985" w:type="dxa"/>
            <w:gridSpan w:val="2"/>
            <w:tcBorders>
              <w:top w:val="single" w:color="000000" w:sz="8"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资金使用单位</w:t>
            </w:r>
          </w:p>
        </w:tc>
        <w:tc>
          <w:tcPr>
            <w:tcW w:w="3554" w:type="dxa"/>
            <w:gridSpan w:val="4"/>
            <w:tcBorders>
              <w:top w:val="single" w:color="000000" w:sz="8"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中共新疆维吾尔自治区委员会宣传部、新疆广播影视译制中心</w:t>
            </w:r>
          </w:p>
        </w:tc>
      </w:tr>
      <w:tr>
        <w:tblPrEx>
          <w:tblCellMar>
            <w:top w:w="0" w:type="dxa"/>
            <w:left w:w="108" w:type="dxa"/>
            <w:bottom w:w="0" w:type="dxa"/>
            <w:right w:w="108" w:type="dxa"/>
          </w:tblCellMar>
        </w:tblPrEx>
        <w:trPr>
          <w:cantSplit/>
          <w:trHeight w:val="397" w:hRule="atLeast"/>
          <w:jc w:val="center"/>
        </w:trPr>
        <w:tc>
          <w:tcPr>
            <w:tcW w:w="1516"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kern w:val="0"/>
                <w:sz w:val="21"/>
                <w:szCs w:val="21"/>
                <w:lang w:bidi="ar"/>
              </w:rPr>
            </w:pPr>
            <w:r>
              <w:rPr>
                <w:rFonts w:hint="eastAsia" w:ascii="仿宋_GB2312" w:hAnsi="宋体" w:cs="仿宋_GB2312"/>
                <w:color w:val="000000"/>
                <w:kern w:val="0"/>
                <w:sz w:val="21"/>
                <w:szCs w:val="21"/>
                <w:lang w:bidi="ar"/>
              </w:rPr>
              <w:t>资金情况</w:t>
            </w:r>
          </w:p>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（万元）</w:t>
            </w:r>
          </w:p>
        </w:tc>
        <w:tc>
          <w:tcPr>
            <w:tcW w:w="1984" w:type="dxa"/>
            <w:gridSpan w:val="2"/>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ascii="仿宋_GB2312" w:hAnsi="宋体" w:cs="仿宋_GB2312"/>
                <w:color w:val="000000"/>
                <w:sz w:val="21"/>
                <w:szCs w:val="21"/>
              </w:rPr>
            </w:pPr>
          </w:p>
        </w:tc>
        <w:tc>
          <w:tcPr>
            <w:tcW w:w="1985" w:type="dxa"/>
            <w:gridSpan w:val="2"/>
            <w:tcBorders>
              <w:top w:val="single" w:color="000000" w:sz="8"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全年预算数（</w:t>
            </w:r>
            <w:r>
              <w:rPr>
                <w:rStyle w:val="22"/>
                <w:rFonts w:hint="default" w:ascii="仿宋_GB2312" w:eastAsia="仿宋_GB2312"/>
                <w:sz w:val="21"/>
                <w:szCs w:val="21"/>
                <w:lang w:bidi="ar"/>
              </w:rPr>
              <w:t>A</w:t>
            </w:r>
            <w:r>
              <w:rPr>
                <w:rStyle w:val="11"/>
                <w:rFonts w:hint="default" w:ascii="仿宋_GB2312" w:eastAsia="仿宋_GB2312"/>
                <w:sz w:val="21"/>
                <w:szCs w:val="21"/>
                <w:lang w:bidi="ar"/>
              </w:rPr>
              <w:t>）</w:t>
            </w:r>
          </w:p>
        </w:tc>
        <w:tc>
          <w:tcPr>
            <w:tcW w:w="2160" w:type="dxa"/>
            <w:gridSpan w:val="3"/>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全年执行数（</w:t>
            </w:r>
            <w:r>
              <w:rPr>
                <w:rStyle w:val="22"/>
                <w:rFonts w:hint="default" w:ascii="仿宋_GB2312" w:eastAsia="仿宋_GB2312"/>
                <w:sz w:val="21"/>
                <w:szCs w:val="21"/>
                <w:lang w:bidi="ar"/>
              </w:rPr>
              <w:t>B</w:t>
            </w:r>
            <w:r>
              <w:rPr>
                <w:rStyle w:val="11"/>
                <w:rFonts w:hint="default" w:ascii="仿宋_GB2312" w:eastAsia="仿宋_GB2312"/>
                <w:sz w:val="21"/>
                <w:szCs w:val="21"/>
                <w:lang w:bidi="ar"/>
              </w:rPr>
              <w:t>）</w:t>
            </w:r>
          </w:p>
        </w:tc>
        <w:tc>
          <w:tcPr>
            <w:tcW w:w="1394" w:type="dxa"/>
            <w:tcBorders>
              <w:top w:val="single" w:color="000000" w:sz="8"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预算执行率（</w:t>
            </w:r>
            <w:r>
              <w:rPr>
                <w:rStyle w:val="22"/>
                <w:rFonts w:hint="default" w:ascii="仿宋_GB2312" w:eastAsia="仿宋_GB2312"/>
                <w:sz w:val="21"/>
                <w:szCs w:val="21"/>
                <w:lang w:bidi="ar"/>
              </w:rPr>
              <w:t>B/A)</w:t>
            </w:r>
          </w:p>
        </w:tc>
      </w:tr>
      <w:tr>
        <w:tblPrEx>
          <w:tblCellMar>
            <w:top w:w="0" w:type="dxa"/>
            <w:left w:w="108" w:type="dxa"/>
            <w:bottom w:w="0" w:type="dxa"/>
            <w:right w:w="108" w:type="dxa"/>
          </w:tblCellMar>
        </w:tblPrEx>
        <w:trPr>
          <w:cantSplit/>
          <w:trHeight w:val="397" w:hRule="atLeast"/>
          <w:jc w:val="center"/>
        </w:trPr>
        <w:tc>
          <w:tcPr>
            <w:tcW w:w="1516"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ascii="仿宋_GB2312" w:hAnsi="宋体" w:cs="仿宋_GB2312"/>
                <w:color w:val="000000"/>
                <w:sz w:val="21"/>
                <w:szCs w:val="21"/>
              </w:rPr>
            </w:pPr>
          </w:p>
        </w:tc>
        <w:tc>
          <w:tcPr>
            <w:tcW w:w="1984" w:type="dxa"/>
            <w:gridSpan w:val="2"/>
            <w:tcBorders>
              <w:top w:val="nil"/>
              <w:left w:val="single" w:color="auto" w:sz="4"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年度资金总额：</w:t>
            </w:r>
          </w:p>
        </w:tc>
        <w:tc>
          <w:tcPr>
            <w:tcW w:w="1985"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1089</w:t>
            </w:r>
          </w:p>
        </w:tc>
        <w:tc>
          <w:tcPr>
            <w:tcW w:w="2160" w:type="dxa"/>
            <w:gridSpan w:val="3"/>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761.95</w:t>
            </w:r>
          </w:p>
        </w:tc>
        <w:tc>
          <w:tcPr>
            <w:tcW w:w="1394" w:type="dxa"/>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69.97%</w:t>
            </w:r>
          </w:p>
        </w:tc>
      </w:tr>
      <w:tr>
        <w:tblPrEx>
          <w:tblCellMar>
            <w:top w:w="0" w:type="dxa"/>
            <w:left w:w="108" w:type="dxa"/>
            <w:bottom w:w="0" w:type="dxa"/>
            <w:right w:w="108" w:type="dxa"/>
          </w:tblCellMar>
        </w:tblPrEx>
        <w:trPr>
          <w:cantSplit/>
          <w:trHeight w:val="397" w:hRule="atLeast"/>
          <w:jc w:val="center"/>
        </w:trPr>
        <w:tc>
          <w:tcPr>
            <w:tcW w:w="1516"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ascii="仿宋_GB2312" w:hAnsi="宋体" w:cs="仿宋_GB2312"/>
                <w:color w:val="000000"/>
                <w:sz w:val="21"/>
                <w:szCs w:val="21"/>
              </w:rPr>
            </w:pPr>
          </w:p>
        </w:tc>
        <w:tc>
          <w:tcPr>
            <w:tcW w:w="1984" w:type="dxa"/>
            <w:gridSpan w:val="2"/>
            <w:tcBorders>
              <w:top w:val="nil"/>
              <w:left w:val="single" w:color="auto" w:sz="4"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其中：中央财政资金</w:t>
            </w:r>
          </w:p>
        </w:tc>
        <w:tc>
          <w:tcPr>
            <w:tcW w:w="1985"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1089</w:t>
            </w:r>
          </w:p>
        </w:tc>
        <w:tc>
          <w:tcPr>
            <w:tcW w:w="2160" w:type="dxa"/>
            <w:gridSpan w:val="3"/>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761.95</w:t>
            </w:r>
          </w:p>
        </w:tc>
        <w:tc>
          <w:tcPr>
            <w:tcW w:w="1394" w:type="dxa"/>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69.97%</w:t>
            </w:r>
          </w:p>
        </w:tc>
      </w:tr>
      <w:tr>
        <w:tblPrEx>
          <w:tblCellMar>
            <w:top w:w="0" w:type="dxa"/>
            <w:left w:w="108" w:type="dxa"/>
            <w:bottom w:w="0" w:type="dxa"/>
            <w:right w:w="108" w:type="dxa"/>
          </w:tblCellMar>
        </w:tblPrEx>
        <w:trPr>
          <w:cantSplit/>
          <w:trHeight w:val="397" w:hRule="atLeast"/>
          <w:jc w:val="center"/>
        </w:trPr>
        <w:tc>
          <w:tcPr>
            <w:tcW w:w="1516"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ascii="仿宋_GB2312" w:hAnsi="宋体" w:cs="仿宋_GB2312"/>
                <w:color w:val="000000"/>
                <w:sz w:val="21"/>
                <w:szCs w:val="21"/>
              </w:rPr>
            </w:pPr>
          </w:p>
        </w:tc>
        <w:tc>
          <w:tcPr>
            <w:tcW w:w="1984" w:type="dxa"/>
            <w:gridSpan w:val="2"/>
            <w:tcBorders>
              <w:top w:val="nil"/>
              <w:left w:val="single" w:color="auto" w:sz="4"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ind w:firstLine="630" w:firstLineChars="300"/>
              <w:jc w:val="left"/>
              <w:textAlignment w:val="top"/>
              <w:rPr>
                <w:rFonts w:ascii="仿宋_GB2312" w:hAnsi="宋体" w:cs="宋体"/>
                <w:color w:val="000000"/>
                <w:sz w:val="21"/>
                <w:szCs w:val="21"/>
              </w:rPr>
            </w:pPr>
            <w:r>
              <w:rPr>
                <w:rStyle w:val="11"/>
                <w:rFonts w:hint="default" w:ascii="仿宋_GB2312" w:eastAsia="仿宋_GB2312"/>
                <w:sz w:val="21"/>
                <w:szCs w:val="21"/>
                <w:lang w:bidi="ar"/>
              </w:rPr>
              <w:t>地方资金</w:t>
            </w:r>
          </w:p>
        </w:tc>
        <w:tc>
          <w:tcPr>
            <w:tcW w:w="1985"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0</w:t>
            </w:r>
          </w:p>
        </w:tc>
        <w:tc>
          <w:tcPr>
            <w:tcW w:w="2160" w:type="dxa"/>
            <w:gridSpan w:val="3"/>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0</w:t>
            </w:r>
          </w:p>
        </w:tc>
        <w:tc>
          <w:tcPr>
            <w:tcW w:w="1394" w:type="dxa"/>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r>
      <w:tr>
        <w:tblPrEx>
          <w:tblCellMar>
            <w:top w:w="0" w:type="dxa"/>
            <w:left w:w="108" w:type="dxa"/>
            <w:bottom w:w="0" w:type="dxa"/>
            <w:right w:w="108" w:type="dxa"/>
          </w:tblCellMar>
        </w:tblPrEx>
        <w:trPr>
          <w:cantSplit/>
          <w:trHeight w:val="397" w:hRule="atLeast"/>
          <w:jc w:val="center"/>
        </w:trPr>
        <w:tc>
          <w:tcPr>
            <w:tcW w:w="1516"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ascii="仿宋_GB2312" w:hAnsi="宋体" w:cs="仿宋_GB2312"/>
                <w:color w:val="000000"/>
                <w:sz w:val="21"/>
                <w:szCs w:val="21"/>
              </w:rPr>
            </w:pPr>
          </w:p>
        </w:tc>
        <w:tc>
          <w:tcPr>
            <w:tcW w:w="1984" w:type="dxa"/>
            <w:gridSpan w:val="2"/>
            <w:tcBorders>
              <w:top w:val="nil"/>
              <w:left w:val="single" w:color="auto" w:sz="4"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ind w:firstLine="630" w:firstLineChars="300"/>
              <w:jc w:val="left"/>
              <w:textAlignment w:val="top"/>
              <w:rPr>
                <w:rFonts w:ascii="仿宋_GB2312" w:hAnsi="宋体" w:cs="宋体"/>
                <w:color w:val="000000"/>
                <w:sz w:val="21"/>
                <w:szCs w:val="21"/>
              </w:rPr>
            </w:pPr>
            <w:r>
              <w:rPr>
                <w:rStyle w:val="11"/>
                <w:rFonts w:hint="default" w:ascii="仿宋_GB2312" w:eastAsia="仿宋_GB2312"/>
                <w:sz w:val="21"/>
                <w:szCs w:val="21"/>
                <w:lang w:bidi="ar"/>
              </w:rPr>
              <w:t>其他资金</w:t>
            </w:r>
          </w:p>
        </w:tc>
        <w:tc>
          <w:tcPr>
            <w:tcW w:w="1985"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0</w:t>
            </w:r>
          </w:p>
        </w:tc>
        <w:tc>
          <w:tcPr>
            <w:tcW w:w="2160" w:type="dxa"/>
            <w:gridSpan w:val="3"/>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0</w:t>
            </w:r>
          </w:p>
        </w:tc>
        <w:tc>
          <w:tcPr>
            <w:tcW w:w="1394" w:type="dxa"/>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r>
      <w:tr>
        <w:tblPrEx>
          <w:tblCellMar>
            <w:top w:w="0" w:type="dxa"/>
            <w:left w:w="108" w:type="dxa"/>
            <w:bottom w:w="0" w:type="dxa"/>
            <w:right w:w="108" w:type="dxa"/>
          </w:tblCellMar>
        </w:tblPrEx>
        <w:trPr>
          <w:cantSplit/>
          <w:trHeight w:val="397" w:hRule="atLeast"/>
          <w:jc w:val="center"/>
        </w:trPr>
        <w:tc>
          <w:tcPr>
            <w:tcW w:w="675" w:type="dxa"/>
            <w:vMerge w:val="restart"/>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总体目标完成情况</w:t>
            </w:r>
          </w:p>
        </w:tc>
        <w:tc>
          <w:tcPr>
            <w:tcW w:w="3959" w:type="dxa"/>
            <w:gridSpan w:val="4"/>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总体目标</w:t>
            </w:r>
          </w:p>
        </w:tc>
        <w:tc>
          <w:tcPr>
            <w:tcW w:w="4405" w:type="dxa"/>
            <w:gridSpan w:val="5"/>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全年实际完成情况</w:t>
            </w:r>
          </w:p>
        </w:tc>
      </w:tr>
      <w:tr>
        <w:tblPrEx>
          <w:tblCellMar>
            <w:top w:w="0" w:type="dxa"/>
            <w:left w:w="108" w:type="dxa"/>
            <w:bottom w:w="0" w:type="dxa"/>
            <w:right w:w="108" w:type="dxa"/>
          </w:tblCellMar>
        </w:tblPrEx>
        <w:trPr>
          <w:cantSplit/>
          <w:trHeight w:val="397" w:hRule="atLeast"/>
          <w:jc w:val="center"/>
        </w:trPr>
        <w:tc>
          <w:tcPr>
            <w:tcW w:w="675" w:type="dxa"/>
            <w:vMerge w:val="continue"/>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3959" w:type="dxa"/>
            <w:gridSpan w:val="4"/>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 xml:space="preserve">    提升少数民族语电影译制能力，推动影院建设和先进技术应用推广，鼓励引导文化特色、艺术影片发行和放映，促进国产影片票房增长，推动新疆事业持续发展。</w:t>
            </w:r>
          </w:p>
        </w:tc>
        <w:tc>
          <w:tcPr>
            <w:tcW w:w="4405" w:type="dxa"/>
            <w:gridSpan w:val="5"/>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 xml:space="preserve">   </w:t>
            </w:r>
            <w:r>
              <w:rPr>
                <w:rStyle w:val="11"/>
                <w:rFonts w:hint="default" w:ascii="仿宋_GB2312" w:eastAsia="仿宋_GB2312"/>
                <w:sz w:val="21"/>
                <w:szCs w:val="21"/>
                <w:lang w:bidi="ar"/>
              </w:rPr>
              <w:t>提升少数民族语电影译制能力，推动影院建设和先进技术应用推广，鼓励引导文化特色、艺术影片发行和放映，促进国产影片票房增长，推动新疆事业持续发展。</w:t>
            </w:r>
          </w:p>
        </w:tc>
      </w:tr>
      <w:tr>
        <w:tblPrEx>
          <w:tblCellMar>
            <w:top w:w="0" w:type="dxa"/>
            <w:left w:w="108" w:type="dxa"/>
            <w:bottom w:w="0" w:type="dxa"/>
            <w:right w:w="108" w:type="dxa"/>
          </w:tblCellMar>
        </w:tblPrEx>
        <w:trPr>
          <w:cantSplit/>
          <w:trHeight w:val="397" w:hRule="atLeast"/>
          <w:jc w:val="center"/>
        </w:trPr>
        <w:tc>
          <w:tcPr>
            <w:tcW w:w="675" w:type="dxa"/>
            <w:vMerge w:val="restart"/>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绩效指标</w:t>
            </w:r>
          </w:p>
        </w:tc>
        <w:tc>
          <w:tcPr>
            <w:tcW w:w="841" w:type="dxa"/>
            <w:tcBorders>
              <w:top w:val="nil"/>
              <w:left w:val="nil"/>
              <w:bottom w:val="nil"/>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kern w:val="0"/>
                <w:sz w:val="21"/>
                <w:szCs w:val="21"/>
                <w:lang w:bidi="ar"/>
              </w:rPr>
            </w:pPr>
            <w:r>
              <w:rPr>
                <w:rFonts w:hint="eastAsia" w:ascii="仿宋_GB2312" w:hAnsi="宋体" w:cs="仿宋_GB2312"/>
                <w:color w:val="000000"/>
                <w:kern w:val="0"/>
                <w:sz w:val="21"/>
                <w:szCs w:val="21"/>
                <w:lang w:bidi="ar"/>
              </w:rPr>
              <w:t>一级</w:t>
            </w:r>
          </w:p>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指标</w:t>
            </w:r>
          </w:p>
        </w:tc>
        <w:tc>
          <w:tcPr>
            <w:tcW w:w="850" w:type="dxa"/>
            <w:tcBorders>
              <w:top w:val="single" w:color="000000" w:sz="8" w:space="0"/>
              <w:left w:val="nil"/>
              <w:bottom w:val="nil"/>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kern w:val="0"/>
                <w:sz w:val="21"/>
                <w:szCs w:val="21"/>
                <w:lang w:bidi="ar"/>
              </w:rPr>
            </w:pPr>
            <w:r>
              <w:rPr>
                <w:rFonts w:hint="eastAsia" w:ascii="仿宋_GB2312" w:hAnsi="宋体" w:cs="仿宋_GB2312"/>
                <w:color w:val="000000"/>
                <w:kern w:val="0"/>
                <w:sz w:val="21"/>
                <w:szCs w:val="21"/>
                <w:lang w:bidi="ar"/>
              </w:rPr>
              <w:t>二级</w:t>
            </w:r>
          </w:p>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指标</w:t>
            </w:r>
          </w:p>
        </w:tc>
        <w:tc>
          <w:tcPr>
            <w:tcW w:w="2268" w:type="dxa"/>
            <w:gridSpan w:val="2"/>
            <w:tcBorders>
              <w:top w:val="single" w:color="000000" w:sz="8" w:space="0"/>
              <w:left w:val="nil"/>
              <w:bottom w:val="nil"/>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三级指标</w:t>
            </w:r>
          </w:p>
        </w:tc>
        <w:tc>
          <w:tcPr>
            <w:tcW w:w="993" w:type="dxa"/>
            <w:gridSpan w:val="2"/>
            <w:tcBorders>
              <w:top w:val="single" w:color="000000" w:sz="8" w:space="0"/>
              <w:left w:val="nil"/>
              <w:bottom w:val="nil"/>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指标值</w:t>
            </w:r>
          </w:p>
        </w:tc>
        <w:tc>
          <w:tcPr>
            <w:tcW w:w="992" w:type="dxa"/>
            <w:tcBorders>
              <w:top w:val="single" w:color="000000" w:sz="8" w:space="0"/>
              <w:left w:val="nil"/>
              <w:bottom w:val="nil"/>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全年实际完成值</w:t>
            </w:r>
          </w:p>
        </w:tc>
        <w:tc>
          <w:tcPr>
            <w:tcW w:w="2420" w:type="dxa"/>
            <w:gridSpan w:val="2"/>
            <w:tcBorders>
              <w:top w:val="single" w:color="000000" w:sz="8"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未完成原因和改进措施</w:t>
            </w:r>
          </w:p>
        </w:tc>
      </w:tr>
      <w:tr>
        <w:tblPrEx>
          <w:tblCellMar>
            <w:top w:w="0" w:type="dxa"/>
            <w:left w:w="108" w:type="dxa"/>
            <w:bottom w:w="0" w:type="dxa"/>
            <w:right w:w="108" w:type="dxa"/>
          </w:tblCellMar>
        </w:tblPrEx>
        <w:trPr>
          <w:cantSplit/>
          <w:trHeight w:val="678" w:hRule="atLeast"/>
          <w:jc w:val="center"/>
        </w:trPr>
        <w:tc>
          <w:tcPr>
            <w:tcW w:w="675" w:type="dxa"/>
            <w:vMerge w:val="continue"/>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vMerge w:val="restart"/>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kern w:val="0"/>
                <w:sz w:val="21"/>
                <w:szCs w:val="21"/>
                <w:lang w:bidi="ar"/>
              </w:rPr>
            </w:pPr>
            <w:r>
              <w:rPr>
                <w:rFonts w:hint="eastAsia" w:ascii="仿宋_GB2312" w:hAnsi="宋体" w:cs="仿宋_GB2312"/>
                <w:color w:val="000000"/>
                <w:kern w:val="0"/>
                <w:sz w:val="21"/>
                <w:szCs w:val="21"/>
                <w:lang w:bidi="ar"/>
              </w:rPr>
              <w:t>产出</w:t>
            </w:r>
          </w:p>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指标</w:t>
            </w:r>
          </w:p>
        </w:tc>
        <w:tc>
          <w:tcPr>
            <w:tcW w:w="850" w:type="dxa"/>
            <w:vMerge w:val="restart"/>
            <w:tcBorders>
              <w:top w:val="single" w:color="000000" w:sz="8" w:space="0"/>
              <w:left w:val="nil"/>
              <w:bottom w:val="nil"/>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kern w:val="0"/>
                <w:sz w:val="21"/>
                <w:szCs w:val="21"/>
                <w:lang w:bidi="ar"/>
              </w:rPr>
            </w:pPr>
            <w:r>
              <w:rPr>
                <w:rFonts w:hint="eastAsia" w:ascii="仿宋_GB2312" w:hAnsi="宋体" w:cs="仿宋_GB2312"/>
                <w:color w:val="000000"/>
                <w:kern w:val="0"/>
                <w:sz w:val="21"/>
                <w:szCs w:val="21"/>
                <w:lang w:bidi="ar"/>
              </w:rPr>
              <w:t>数量</w:t>
            </w:r>
          </w:p>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指标</w:t>
            </w:r>
          </w:p>
        </w:tc>
        <w:tc>
          <w:tcPr>
            <w:tcW w:w="2268" w:type="dxa"/>
            <w:gridSpan w:val="2"/>
            <w:tcBorders>
              <w:top w:val="single" w:color="000000" w:sz="8"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补助中西部地区县城新建数字影院数量</w:t>
            </w:r>
          </w:p>
        </w:tc>
        <w:tc>
          <w:tcPr>
            <w:tcW w:w="993" w:type="dxa"/>
            <w:gridSpan w:val="2"/>
            <w:tcBorders>
              <w:top w:val="single" w:color="000000" w:sz="8"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ascii="仿宋_GB2312" w:hAnsi="宋体" w:cs="宋体"/>
                <w:color w:val="000000"/>
                <w:kern w:val="0"/>
                <w:sz w:val="21"/>
                <w:szCs w:val="21"/>
                <w:lang w:bidi="ar"/>
              </w:rPr>
              <w:t>13</w:t>
            </w:r>
            <w:r>
              <w:rPr>
                <w:rStyle w:val="11"/>
                <w:rFonts w:hint="default" w:ascii="仿宋_GB2312" w:eastAsia="仿宋_GB2312"/>
                <w:sz w:val="21"/>
                <w:szCs w:val="21"/>
                <w:lang w:bidi="ar"/>
              </w:rPr>
              <w:t>家</w:t>
            </w:r>
          </w:p>
        </w:tc>
        <w:tc>
          <w:tcPr>
            <w:tcW w:w="992" w:type="dxa"/>
            <w:tcBorders>
              <w:top w:val="single" w:color="000000" w:sz="8"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ascii="仿宋_GB2312" w:hAnsi="宋体" w:cs="宋体"/>
                <w:color w:val="000000"/>
                <w:kern w:val="0"/>
                <w:sz w:val="21"/>
                <w:szCs w:val="21"/>
                <w:lang w:bidi="ar"/>
              </w:rPr>
              <w:t>13</w:t>
            </w:r>
            <w:r>
              <w:rPr>
                <w:rStyle w:val="11"/>
                <w:rFonts w:hint="default" w:ascii="仿宋_GB2312" w:eastAsia="仿宋_GB2312"/>
                <w:sz w:val="21"/>
                <w:szCs w:val="21"/>
                <w:lang w:bidi="ar"/>
              </w:rPr>
              <w:t>家</w:t>
            </w:r>
          </w:p>
        </w:tc>
        <w:tc>
          <w:tcPr>
            <w:tcW w:w="2420"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ascii="仿宋_GB2312" w:hAnsi="宋体" w:cs="仿宋_GB2312"/>
                <w:color w:val="000000"/>
                <w:sz w:val="21"/>
                <w:szCs w:val="21"/>
              </w:rPr>
            </w:pPr>
          </w:p>
        </w:tc>
      </w:tr>
      <w:tr>
        <w:tblPrEx>
          <w:tblCellMar>
            <w:top w:w="0" w:type="dxa"/>
            <w:left w:w="108" w:type="dxa"/>
            <w:bottom w:w="0" w:type="dxa"/>
            <w:right w:w="108" w:type="dxa"/>
          </w:tblCellMar>
        </w:tblPrEx>
        <w:trPr>
          <w:cantSplit/>
          <w:trHeight w:val="397" w:hRule="atLeast"/>
          <w:jc w:val="center"/>
        </w:trPr>
        <w:tc>
          <w:tcPr>
            <w:tcW w:w="675" w:type="dxa"/>
            <w:vMerge w:val="continue"/>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50" w:type="dxa"/>
            <w:vMerge w:val="continue"/>
            <w:tcBorders>
              <w:top w:val="single" w:color="000000" w:sz="8" w:space="0"/>
              <w:left w:val="nil"/>
              <w:bottom w:val="nil"/>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2268"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0"/>
                <w:szCs w:val="20"/>
                <w:lang w:bidi="ar"/>
              </w:rPr>
              <w:t>放映国产影片影院数量</w:t>
            </w:r>
          </w:p>
        </w:tc>
        <w:tc>
          <w:tcPr>
            <w:tcW w:w="993"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东文宋体" w:cs="东文宋体"/>
                <w:color w:val="000000"/>
                <w:kern w:val="0"/>
                <w:sz w:val="21"/>
                <w:szCs w:val="21"/>
                <w:lang w:bidi="ar"/>
              </w:rPr>
              <w:t>≥</w:t>
            </w:r>
            <w:r>
              <w:rPr>
                <w:rStyle w:val="22"/>
                <w:rFonts w:hint="default" w:ascii="仿宋_GB2312" w:eastAsia="仿宋_GB2312"/>
                <w:sz w:val="21"/>
                <w:szCs w:val="21"/>
                <w:lang w:bidi="ar"/>
              </w:rPr>
              <w:t>100</w:t>
            </w:r>
            <w:r>
              <w:rPr>
                <w:rStyle w:val="11"/>
                <w:rFonts w:hint="default" w:ascii="仿宋_GB2312" w:eastAsia="仿宋_GB2312"/>
                <w:sz w:val="21"/>
                <w:szCs w:val="21"/>
                <w:lang w:bidi="ar"/>
              </w:rPr>
              <w:t>家</w:t>
            </w:r>
          </w:p>
        </w:tc>
        <w:tc>
          <w:tcPr>
            <w:tcW w:w="992" w:type="dxa"/>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189</w:t>
            </w:r>
            <w:r>
              <w:rPr>
                <w:rStyle w:val="11"/>
                <w:rFonts w:hint="default" w:ascii="仿宋_GB2312" w:eastAsia="仿宋_GB2312"/>
                <w:sz w:val="21"/>
                <w:szCs w:val="21"/>
                <w:lang w:bidi="ar"/>
              </w:rPr>
              <w:t>家</w:t>
            </w:r>
          </w:p>
        </w:tc>
        <w:tc>
          <w:tcPr>
            <w:tcW w:w="2420"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ascii="仿宋_GB2312" w:hAnsi="宋体" w:cs="仿宋_GB2312"/>
                <w:color w:val="000000"/>
                <w:sz w:val="21"/>
                <w:szCs w:val="21"/>
              </w:rPr>
            </w:pPr>
            <w:r>
              <w:rPr>
                <w:rFonts w:hint="eastAsia" w:ascii="仿宋_GB2312" w:hAnsi="宋体" w:cs="仿宋_GB2312"/>
                <w:color w:val="000000"/>
                <w:sz w:val="21"/>
                <w:szCs w:val="21"/>
              </w:rPr>
              <w:t>在下达绩效目标后，自治区新开业影院14家，新增75家可以正常营业的影院，造成指标有所偏差。</w:t>
            </w:r>
          </w:p>
        </w:tc>
      </w:tr>
      <w:tr>
        <w:tblPrEx>
          <w:tblCellMar>
            <w:top w:w="0" w:type="dxa"/>
            <w:left w:w="108" w:type="dxa"/>
            <w:bottom w:w="0" w:type="dxa"/>
            <w:right w:w="108" w:type="dxa"/>
          </w:tblCellMar>
        </w:tblPrEx>
        <w:trPr>
          <w:cantSplit/>
          <w:trHeight w:val="639" w:hRule="atLeast"/>
          <w:jc w:val="center"/>
        </w:trPr>
        <w:tc>
          <w:tcPr>
            <w:tcW w:w="675" w:type="dxa"/>
            <w:vMerge w:val="continue"/>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50" w:type="dxa"/>
            <w:vMerge w:val="continue"/>
            <w:tcBorders>
              <w:top w:val="single" w:color="000000" w:sz="8" w:space="0"/>
              <w:left w:val="nil"/>
              <w:bottom w:val="nil"/>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2268"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少数民族语影片译制部数</w:t>
            </w:r>
          </w:p>
        </w:tc>
        <w:tc>
          <w:tcPr>
            <w:tcW w:w="993"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70</w:t>
            </w:r>
            <w:r>
              <w:rPr>
                <w:rStyle w:val="11"/>
                <w:rFonts w:hint="default" w:ascii="仿宋_GB2312" w:eastAsia="仿宋_GB2312"/>
                <w:sz w:val="21"/>
                <w:szCs w:val="21"/>
                <w:lang w:bidi="ar"/>
              </w:rPr>
              <w:t>部</w:t>
            </w:r>
            <w:r>
              <w:rPr>
                <w:rStyle w:val="11"/>
                <w:rFonts w:ascii="仿宋_GB2312" w:eastAsia="仿宋_GB2312"/>
                <w:sz w:val="21"/>
                <w:szCs w:val="21"/>
                <w:lang w:bidi="ar"/>
              </w:rPr>
              <w:t>次</w:t>
            </w:r>
          </w:p>
        </w:tc>
        <w:tc>
          <w:tcPr>
            <w:tcW w:w="992" w:type="dxa"/>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70</w:t>
            </w:r>
            <w:r>
              <w:rPr>
                <w:rStyle w:val="11"/>
                <w:rFonts w:hint="default" w:ascii="仿宋_GB2312" w:eastAsia="仿宋_GB2312"/>
                <w:sz w:val="21"/>
                <w:szCs w:val="21"/>
                <w:lang w:bidi="ar"/>
              </w:rPr>
              <w:t>部</w:t>
            </w:r>
            <w:r>
              <w:rPr>
                <w:rStyle w:val="11"/>
                <w:rFonts w:ascii="仿宋_GB2312" w:eastAsia="仿宋_GB2312"/>
                <w:sz w:val="21"/>
                <w:szCs w:val="21"/>
                <w:lang w:bidi="ar"/>
              </w:rPr>
              <w:t>次</w:t>
            </w:r>
          </w:p>
        </w:tc>
        <w:tc>
          <w:tcPr>
            <w:tcW w:w="2420"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ascii="仿宋_GB2312" w:hAnsi="宋体" w:cs="仿宋_GB2312"/>
                <w:color w:val="000000"/>
                <w:sz w:val="21"/>
                <w:szCs w:val="21"/>
              </w:rPr>
            </w:pPr>
          </w:p>
        </w:tc>
      </w:tr>
      <w:tr>
        <w:tblPrEx>
          <w:tblCellMar>
            <w:top w:w="0" w:type="dxa"/>
            <w:left w:w="108" w:type="dxa"/>
            <w:bottom w:w="0" w:type="dxa"/>
            <w:right w:w="108" w:type="dxa"/>
          </w:tblCellMar>
        </w:tblPrEx>
        <w:trPr>
          <w:cantSplit/>
          <w:trHeight w:val="542" w:hRule="atLeast"/>
          <w:jc w:val="center"/>
        </w:trPr>
        <w:tc>
          <w:tcPr>
            <w:tcW w:w="675" w:type="dxa"/>
            <w:vMerge w:val="continue"/>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50" w:type="dxa"/>
            <w:vMerge w:val="restart"/>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kern w:val="0"/>
                <w:sz w:val="21"/>
                <w:szCs w:val="21"/>
                <w:lang w:bidi="ar"/>
              </w:rPr>
            </w:pPr>
            <w:r>
              <w:rPr>
                <w:rFonts w:hint="eastAsia" w:ascii="仿宋_GB2312" w:hAnsi="宋体" w:cs="仿宋_GB2312"/>
                <w:color w:val="000000"/>
                <w:kern w:val="0"/>
                <w:sz w:val="21"/>
                <w:szCs w:val="21"/>
                <w:lang w:bidi="ar"/>
              </w:rPr>
              <w:t>质量</w:t>
            </w:r>
          </w:p>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指标</w:t>
            </w:r>
          </w:p>
        </w:tc>
        <w:tc>
          <w:tcPr>
            <w:tcW w:w="2268"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县城影院覆盖率</w:t>
            </w:r>
          </w:p>
        </w:tc>
        <w:tc>
          <w:tcPr>
            <w:tcW w:w="993"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东文宋体" w:cs="东文宋体"/>
                <w:color w:val="000000"/>
                <w:kern w:val="0"/>
                <w:sz w:val="21"/>
                <w:szCs w:val="21"/>
                <w:lang w:bidi="ar"/>
              </w:rPr>
              <w:t>≥</w:t>
            </w:r>
            <w:r>
              <w:rPr>
                <w:rStyle w:val="22"/>
                <w:rFonts w:hint="default" w:ascii="仿宋_GB2312" w:eastAsia="仿宋_GB2312"/>
                <w:sz w:val="21"/>
                <w:szCs w:val="21"/>
                <w:lang w:bidi="ar"/>
              </w:rPr>
              <w:t>90%</w:t>
            </w:r>
          </w:p>
        </w:tc>
        <w:tc>
          <w:tcPr>
            <w:tcW w:w="992" w:type="dxa"/>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r>
              <w:rPr>
                <w:rFonts w:hint="eastAsia" w:ascii="仿宋_GB2312" w:hAnsi="宋体" w:cs="仿宋_GB2312"/>
                <w:color w:val="000000"/>
                <w:sz w:val="21"/>
                <w:szCs w:val="21"/>
              </w:rPr>
              <w:t>90%</w:t>
            </w:r>
          </w:p>
        </w:tc>
        <w:tc>
          <w:tcPr>
            <w:tcW w:w="2420"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r>
      <w:tr>
        <w:tblPrEx>
          <w:tblCellMar>
            <w:top w:w="0" w:type="dxa"/>
            <w:left w:w="108" w:type="dxa"/>
            <w:bottom w:w="0" w:type="dxa"/>
            <w:right w:w="108" w:type="dxa"/>
          </w:tblCellMar>
        </w:tblPrEx>
        <w:trPr>
          <w:cantSplit/>
          <w:trHeight w:val="397" w:hRule="atLeast"/>
          <w:jc w:val="center"/>
        </w:trPr>
        <w:tc>
          <w:tcPr>
            <w:tcW w:w="675" w:type="dxa"/>
            <w:vMerge w:val="continue"/>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5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2268"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少数民族语影片译制合格率</w:t>
            </w:r>
          </w:p>
        </w:tc>
        <w:tc>
          <w:tcPr>
            <w:tcW w:w="993"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100%</w:t>
            </w:r>
          </w:p>
        </w:tc>
        <w:tc>
          <w:tcPr>
            <w:tcW w:w="992" w:type="dxa"/>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100%</w:t>
            </w:r>
          </w:p>
        </w:tc>
        <w:tc>
          <w:tcPr>
            <w:tcW w:w="2420"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r>
      <w:tr>
        <w:tblPrEx>
          <w:tblCellMar>
            <w:top w:w="0" w:type="dxa"/>
            <w:left w:w="108" w:type="dxa"/>
            <w:bottom w:w="0" w:type="dxa"/>
            <w:right w:w="108" w:type="dxa"/>
          </w:tblCellMar>
        </w:tblPrEx>
        <w:trPr>
          <w:cantSplit/>
          <w:trHeight w:val="705" w:hRule="atLeast"/>
          <w:jc w:val="center"/>
        </w:trPr>
        <w:tc>
          <w:tcPr>
            <w:tcW w:w="675" w:type="dxa"/>
            <w:vMerge w:val="continue"/>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50" w:type="dxa"/>
            <w:vMerge w:val="restart"/>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kern w:val="0"/>
                <w:sz w:val="21"/>
                <w:szCs w:val="21"/>
                <w:lang w:bidi="ar"/>
              </w:rPr>
            </w:pPr>
            <w:r>
              <w:rPr>
                <w:rFonts w:hint="eastAsia" w:ascii="仿宋_GB2312" w:hAnsi="宋体" w:cs="仿宋_GB2312"/>
                <w:color w:val="000000"/>
                <w:kern w:val="0"/>
                <w:sz w:val="21"/>
                <w:szCs w:val="21"/>
                <w:lang w:bidi="ar"/>
              </w:rPr>
              <w:t>成本</w:t>
            </w:r>
          </w:p>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指标</w:t>
            </w:r>
          </w:p>
        </w:tc>
        <w:tc>
          <w:tcPr>
            <w:tcW w:w="2268"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0"/>
                <w:szCs w:val="20"/>
                <w:lang w:bidi="ar"/>
              </w:rPr>
              <w:t>补助中西部地区县城新建数字影院单厅金额</w:t>
            </w:r>
          </w:p>
        </w:tc>
        <w:tc>
          <w:tcPr>
            <w:tcW w:w="993"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Style w:val="22"/>
                <w:rFonts w:hint="default" w:ascii="仿宋_GB2312" w:hAnsi="东文宋体" w:eastAsia="仿宋_GB2312" w:cs="东文宋体"/>
                <w:sz w:val="21"/>
                <w:szCs w:val="21"/>
                <w:lang w:bidi="ar"/>
              </w:rPr>
              <w:t>≤</w:t>
            </w:r>
            <w:r>
              <w:rPr>
                <w:rStyle w:val="22"/>
                <w:rFonts w:hint="default" w:ascii="仿宋_GB2312" w:eastAsia="仿宋_GB2312"/>
                <w:sz w:val="21"/>
                <w:szCs w:val="21"/>
                <w:lang w:bidi="ar"/>
              </w:rPr>
              <w:t>10</w:t>
            </w:r>
            <w:r>
              <w:rPr>
                <w:rStyle w:val="11"/>
                <w:rFonts w:hint="default" w:ascii="仿宋_GB2312" w:eastAsia="仿宋_GB2312"/>
                <w:sz w:val="21"/>
                <w:szCs w:val="21"/>
                <w:lang w:bidi="ar"/>
              </w:rPr>
              <w:t>万</w:t>
            </w:r>
            <w:r>
              <w:rPr>
                <w:rStyle w:val="22"/>
                <w:rFonts w:hint="default" w:ascii="仿宋_GB2312" w:eastAsia="仿宋_GB2312"/>
                <w:sz w:val="21"/>
                <w:szCs w:val="21"/>
                <w:lang w:bidi="ar"/>
              </w:rPr>
              <w:t>/</w:t>
            </w:r>
            <w:r>
              <w:rPr>
                <w:rStyle w:val="11"/>
                <w:rFonts w:hint="default" w:ascii="仿宋_GB2312" w:eastAsia="仿宋_GB2312"/>
                <w:sz w:val="21"/>
                <w:szCs w:val="21"/>
                <w:lang w:bidi="ar"/>
              </w:rPr>
              <w:t>厅</w:t>
            </w:r>
          </w:p>
        </w:tc>
        <w:tc>
          <w:tcPr>
            <w:tcW w:w="992" w:type="dxa"/>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10</w:t>
            </w:r>
            <w:r>
              <w:rPr>
                <w:rStyle w:val="11"/>
                <w:rFonts w:hint="default" w:ascii="仿宋_GB2312" w:eastAsia="仿宋_GB2312"/>
                <w:sz w:val="21"/>
                <w:szCs w:val="21"/>
                <w:lang w:bidi="ar"/>
              </w:rPr>
              <w:t>万</w:t>
            </w:r>
            <w:r>
              <w:rPr>
                <w:rStyle w:val="22"/>
                <w:rFonts w:hint="default" w:ascii="仿宋_GB2312" w:eastAsia="仿宋_GB2312"/>
                <w:sz w:val="21"/>
                <w:szCs w:val="21"/>
                <w:lang w:bidi="ar"/>
              </w:rPr>
              <w:t>/</w:t>
            </w:r>
            <w:r>
              <w:rPr>
                <w:rStyle w:val="11"/>
                <w:rFonts w:hint="default" w:ascii="仿宋_GB2312" w:eastAsia="仿宋_GB2312"/>
                <w:sz w:val="21"/>
                <w:szCs w:val="21"/>
                <w:lang w:bidi="ar"/>
              </w:rPr>
              <w:t>厅</w:t>
            </w:r>
          </w:p>
        </w:tc>
        <w:tc>
          <w:tcPr>
            <w:tcW w:w="2420" w:type="dxa"/>
            <w:gridSpan w:val="2"/>
            <w:tcBorders>
              <w:top w:val="nil"/>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r>
      <w:tr>
        <w:tblPrEx>
          <w:tblCellMar>
            <w:top w:w="0" w:type="dxa"/>
            <w:left w:w="108" w:type="dxa"/>
            <w:bottom w:w="0" w:type="dxa"/>
            <w:right w:w="108" w:type="dxa"/>
          </w:tblCellMar>
        </w:tblPrEx>
        <w:trPr>
          <w:cantSplit/>
          <w:trHeight w:val="754" w:hRule="atLeast"/>
          <w:jc w:val="center"/>
        </w:trPr>
        <w:tc>
          <w:tcPr>
            <w:tcW w:w="675" w:type="dxa"/>
            <w:vMerge w:val="continue"/>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vMerge w:val="continue"/>
            <w:tcBorders>
              <w:top w:val="single" w:color="000000" w:sz="8"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50" w:type="dxa"/>
            <w:vMerge w:val="continue"/>
            <w:tcBorders>
              <w:top w:val="single" w:color="000000" w:sz="8"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2268" w:type="dxa"/>
            <w:gridSpan w:val="2"/>
            <w:tcBorders>
              <w:top w:val="nil"/>
              <w:left w:val="nil"/>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少数民族语影片译制补助</w:t>
            </w:r>
          </w:p>
        </w:tc>
        <w:tc>
          <w:tcPr>
            <w:tcW w:w="993" w:type="dxa"/>
            <w:gridSpan w:val="2"/>
            <w:tcBorders>
              <w:top w:val="nil"/>
              <w:left w:val="nil"/>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Style w:val="22"/>
                <w:rFonts w:hint="default" w:ascii="仿宋_GB2312" w:hAnsi="东文宋体" w:eastAsia="仿宋_GB2312" w:cs="东文宋体"/>
                <w:sz w:val="21"/>
                <w:szCs w:val="21"/>
                <w:lang w:bidi="ar"/>
              </w:rPr>
              <w:t>≤</w:t>
            </w:r>
            <w:r>
              <w:rPr>
                <w:rStyle w:val="22"/>
                <w:rFonts w:hint="default" w:ascii="仿宋_GB2312" w:eastAsia="仿宋_GB2312"/>
                <w:sz w:val="21"/>
                <w:szCs w:val="21"/>
                <w:lang w:bidi="ar"/>
              </w:rPr>
              <w:t>7</w:t>
            </w:r>
            <w:r>
              <w:rPr>
                <w:rStyle w:val="11"/>
                <w:rFonts w:hint="default" w:ascii="仿宋_GB2312" w:eastAsia="仿宋_GB2312"/>
                <w:sz w:val="21"/>
                <w:szCs w:val="21"/>
                <w:lang w:bidi="ar"/>
              </w:rPr>
              <w:t>万</w:t>
            </w:r>
            <w:r>
              <w:rPr>
                <w:rStyle w:val="22"/>
                <w:rFonts w:hint="default" w:ascii="仿宋_GB2312" w:eastAsia="仿宋_GB2312"/>
                <w:sz w:val="21"/>
                <w:szCs w:val="21"/>
                <w:lang w:bidi="ar"/>
              </w:rPr>
              <w:t>/</w:t>
            </w:r>
            <w:r>
              <w:rPr>
                <w:rStyle w:val="11"/>
                <w:rFonts w:hint="default" w:ascii="仿宋_GB2312" w:eastAsia="仿宋_GB2312"/>
                <w:sz w:val="21"/>
                <w:szCs w:val="21"/>
                <w:lang w:bidi="ar"/>
              </w:rPr>
              <w:t>部</w:t>
            </w:r>
          </w:p>
        </w:tc>
        <w:tc>
          <w:tcPr>
            <w:tcW w:w="992" w:type="dxa"/>
            <w:tcBorders>
              <w:top w:val="nil"/>
              <w:left w:val="nil"/>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7</w:t>
            </w:r>
            <w:r>
              <w:rPr>
                <w:rStyle w:val="11"/>
                <w:rFonts w:hint="default" w:ascii="仿宋_GB2312" w:eastAsia="仿宋_GB2312"/>
                <w:sz w:val="21"/>
                <w:szCs w:val="21"/>
                <w:lang w:bidi="ar"/>
              </w:rPr>
              <w:t>万</w:t>
            </w:r>
            <w:r>
              <w:rPr>
                <w:rStyle w:val="22"/>
                <w:rFonts w:hint="default" w:ascii="仿宋_GB2312" w:eastAsia="仿宋_GB2312"/>
                <w:sz w:val="21"/>
                <w:szCs w:val="21"/>
                <w:lang w:bidi="ar"/>
              </w:rPr>
              <w:t>/</w:t>
            </w:r>
            <w:r>
              <w:rPr>
                <w:rStyle w:val="11"/>
                <w:rFonts w:hint="default" w:ascii="仿宋_GB2312" w:eastAsia="仿宋_GB2312"/>
                <w:sz w:val="21"/>
                <w:szCs w:val="21"/>
                <w:lang w:bidi="ar"/>
              </w:rPr>
              <w:t>部</w:t>
            </w:r>
          </w:p>
        </w:tc>
        <w:tc>
          <w:tcPr>
            <w:tcW w:w="2420" w:type="dxa"/>
            <w:gridSpan w:val="2"/>
            <w:tcBorders>
              <w:top w:val="nil"/>
              <w:left w:val="nil"/>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ascii="仿宋_GB2312" w:hAnsi="宋体" w:cs="仿宋_GB2312"/>
                <w:color w:val="000000"/>
                <w:sz w:val="21"/>
                <w:szCs w:val="21"/>
              </w:rPr>
            </w:pPr>
          </w:p>
        </w:tc>
      </w:tr>
      <w:tr>
        <w:tblPrEx>
          <w:tblCellMar>
            <w:top w:w="0" w:type="dxa"/>
            <w:left w:w="108" w:type="dxa"/>
            <w:bottom w:w="0" w:type="dxa"/>
            <w:right w:w="108" w:type="dxa"/>
          </w:tblCellMar>
        </w:tblPrEx>
        <w:trPr>
          <w:cantSplit/>
          <w:trHeight w:val="397" w:hRule="atLeast"/>
          <w:jc w:val="center"/>
        </w:trPr>
        <w:tc>
          <w:tcPr>
            <w:tcW w:w="675" w:type="dxa"/>
            <w:vMerge w:val="continue"/>
            <w:tcBorders>
              <w:top w:val="single" w:color="auto" w:sz="4" w:space="0"/>
              <w:left w:val="single" w:color="000000"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kern w:val="0"/>
                <w:sz w:val="21"/>
                <w:szCs w:val="21"/>
                <w:lang w:bidi="ar"/>
              </w:rPr>
            </w:pPr>
            <w:r>
              <w:rPr>
                <w:rFonts w:hint="eastAsia" w:ascii="仿宋_GB2312" w:hAnsi="宋体" w:cs="仿宋_GB2312"/>
                <w:color w:val="000000"/>
                <w:kern w:val="0"/>
                <w:sz w:val="21"/>
                <w:szCs w:val="21"/>
                <w:lang w:bidi="ar"/>
              </w:rPr>
              <w:t>效益</w:t>
            </w:r>
          </w:p>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指标</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经济效益指标</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国产影片票房收入占总票房收入比</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东文宋体" w:cs="东文宋体"/>
                <w:color w:val="000000"/>
                <w:kern w:val="0"/>
                <w:sz w:val="21"/>
                <w:szCs w:val="21"/>
                <w:lang w:bidi="ar"/>
              </w:rPr>
              <w:t>≥</w:t>
            </w:r>
            <w:r>
              <w:rPr>
                <w:rStyle w:val="22"/>
                <w:rFonts w:hint="default" w:ascii="仿宋_GB2312" w:eastAsia="仿宋_GB2312"/>
                <w:sz w:val="21"/>
                <w:szCs w:val="21"/>
                <w:lang w:bidi="ar"/>
              </w:rPr>
              <w:t>55%</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82%</w:t>
            </w:r>
          </w:p>
        </w:tc>
        <w:tc>
          <w:tcPr>
            <w:tcW w:w="24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sz w:val="21"/>
                <w:szCs w:val="21"/>
              </w:rPr>
              <w:t>受疫情影响，国产影片排片占比增大，导致国产影片票房收入占比较高，造成指标偏差。</w:t>
            </w:r>
          </w:p>
        </w:tc>
      </w:tr>
      <w:tr>
        <w:tblPrEx>
          <w:tblCellMar>
            <w:top w:w="0" w:type="dxa"/>
            <w:left w:w="108" w:type="dxa"/>
            <w:bottom w:w="0" w:type="dxa"/>
            <w:right w:w="108" w:type="dxa"/>
          </w:tblCellMar>
        </w:tblPrEx>
        <w:trPr>
          <w:cantSplit/>
          <w:trHeight w:val="397" w:hRule="atLeast"/>
          <w:jc w:val="center"/>
        </w:trPr>
        <w:tc>
          <w:tcPr>
            <w:tcW w:w="675" w:type="dxa"/>
            <w:vMerge w:val="continue"/>
            <w:tcBorders>
              <w:top w:val="single" w:color="auto" w:sz="4" w:space="0"/>
              <w:left w:val="single" w:color="000000"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社会效益指标</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国产影片观影人次增长</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东文宋体" w:cs="东文宋体"/>
                <w:color w:val="000000"/>
                <w:kern w:val="0"/>
                <w:sz w:val="21"/>
                <w:szCs w:val="21"/>
                <w:lang w:bidi="ar"/>
              </w:rPr>
              <w:t>≥</w:t>
            </w:r>
            <w:r>
              <w:rPr>
                <w:rStyle w:val="22"/>
                <w:rFonts w:hint="default" w:ascii="仿宋_GB2312" w:eastAsia="仿宋_GB2312"/>
                <w:sz w:val="21"/>
                <w:szCs w:val="21"/>
                <w:lang w:bidi="ar"/>
              </w:rPr>
              <w:t>2%</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200%</w:t>
            </w:r>
          </w:p>
        </w:tc>
        <w:tc>
          <w:tcPr>
            <w:tcW w:w="24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top"/>
              <w:rPr>
                <w:rFonts w:ascii="仿宋_GB2312" w:hAnsi="宋体" w:cs="仿宋_GB2312"/>
                <w:color w:val="000000"/>
                <w:kern w:val="0"/>
                <w:sz w:val="21"/>
                <w:szCs w:val="21"/>
                <w:lang w:bidi="ar"/>
              </w:rPr>
            </w:pPr>
            <w:r>
              <w:rPr>
                <w:rFonts w:hint="eastAsia" w:ascii="仿宋_GB2312" w:hAnsi="宋体" w:cs="仿宋_GB2312"/>
                <w:color w:val="000000"/>
                <w:kern w:val="0"/>
                <w:sz w:val="21"/>
                <w:szCs w:val="21"/>
                <w:lang w:bidi="ar"/>
              </w:rPr>
              <w:t>受疫情影响，2020年新疆影院正常营业时间在3个月左右，2021根据疫情防控要求，大部分影院恢复正常营业，观影人数比上年有大幅增加。</w:t>
            </w:r>
          </w:p>
        </w:tc>
      </w:tr>
      <w:tr>
        <w:tblPrEx>
          <w:tblCellMar>
            <w:top w:w="0" w:type="dxa"/>
            <w:left w:w="108" w:type="dxa"/>
            <w:bottom w:w="0" w:type="dxa"/>
            <w:right w:w="108" w:type="dxa"/>
          </w:tblCellMar>
        </w:tblPrEx>
        <w:trPr>
          <w:cantSplit/>
          <w:trHeight w:val="397" w:hRule="atLeast"/>
          <w:jc w:val="center"/>
        </w:trPr>
        <w:tc>
          <w:tcPr>
            <w:tcW w:w="675" w:type="dxa"/>
            <w:vMerge w:val="continue"/>
            <w:tcBorders>
              <w:top w:val="single" w:color="auto" w:sz="4" w:space="0"/>
              <w:left w:val="single" w:color="000000"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p>
        </w:tc>
        <w:tc>
          <w:tcPr>
            <w:tcW w:w="8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满意度指标</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服务对象满意度指标</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仿宋_GB2312"/>
                <w:color w:val="000000"/>
                <w:sz w:val="21"/>
                <w:szCs w:val="21"/>
              </w:rPr>
            </w:pPr>
            <w:r>
              <w:rPr>
                <w:rFonts w:hint="eastAsia" w:ascii="仿宋_GB2312" w:hAnsi="宋体" w:cs="仿宋_GB2312"/>
                <w:color w:val="000000"/>
                <w:kern w:val="0"/>
                <w:sz w:val="21"/>
                <w:szCs w:val="21"/>
                <w:lang w:bidi="ar"/>
              </w:rPr>
              <w:t>观众对影院的满意度</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东文宋体" w:cs="东文宋体"/>
                <w:color w:val="000000"/>
                <w:kern w:val="0"/>
                <w:sz w:val="21"/>
                <w:szCs w:val="21"/>
                <w:lang w:bidi="ar"/>
              </w:rPr>
              <w:t>≥</w:t>
            </w:r>
            <w:r>
              <w:rPr>
                <w:rFonts w:hint="eastAsia" w:ascii="仿宋_GB2312" w:hAnsi="宋体" w:cs="宋体"/>
                <w:color w:val="000000"/>
                <w:kern w:val="0"/>
                <w:sz w:val="21"/>
                <w:szCs w:val="21"/>
                <w:lang w:bidi="ar"/>
              </w:rPr>
              <w:t>85</w:t>
            </w:r>
            <w:r>
              <w:rPr>
                <w:rStyle w:val="11"/>
                <w:rFonts w:hint="default" w:ascii="仿宋_GB2312" w:eastAsia="仿宋_GB2312"/>
                <w:sz w:val="21"/>
                <w:szCs w:val="21"/>
                <w:lang w:bidi="ar"/>
              </w:rPr>
              <w:t>分</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top"/>
              <w:rPr>
                <w:rFonts w:ascii="仿宋_GB2312" w:hAnsi="宋体" w:cs="宋体"/>
                <w:color w:val="000000"/>
                <w:sz w:val="21"/>
                <w:szCs w:val="21"/>
              </w:rPr>
            </w:pPr>
            <w:r>
              <w:rPr>
                <w:rFonts w:hint="eastAsia" w:ascii="仿宋_GB2312" w:hAnsi="宋体" w:cs="宋体"/>
                <w:color w:val="000000"/>
                <w:kern w:val="0"/>
                <w:sz w:val="21"/>
                <w:szCs w:val="21"/>
                <w:lang w:bidi="ar"/>
              </w:rPr>
              <w:t>86.4</w:t>
            </w:r>
            <w:r>
              <w:rPr>
                <w:rStyle w:val="11"/>
                <w:rFonts w:hint="default" w:ascii="仿宋_GB2312" w:eastAsia="仿宋_GB2312"/>
                <w:sz w:val="21"/>
                <w:szCs w:val="21"/>
                <w:lang w:bidi="ar"/>
              </w:rPr>
              <w:t>分</w:t>
            </w:r>
          </w:p>
        </w:tc>
        <w:tc>
          <w:tcPr>
            <w:tcW w:w="24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rPr>
                <w:rFonts w:ascii="仿宋_GB2312" w:hAnsi="宋体" w:cs="宋体"/>
                <w:color w:val="000000"/>
                <w:sz w:val="21"/>
                <w:szCs w:val="21"/>
              </w:rPr>
            </w:pPr>
          </w:p>
        </w:tc>
      </w:tr>
      <w:tr>
        <w:tblPrEx>
          <w:tblCellMar>
            <w:top w:w="0" w:type="dxa"/>
            <w:left w:w="108" w:type="dxa"/>
            <w:bottom w:w="0" w:type="dxa"/>
            <w:right w:w="108" w:type="dxa"/>
          </w:tblCellMar>
        </w:tblPrEx>
        <w:trPr>
          <w:cantSplit/>
          <w:trHeight w:val="397" w:hRule="atLeast"/>
          <w:jc w:val="center"/>
        </w:trPr>
        <w:tc>
          <w:tcPr>
            <w:tcW w:w="675" w:type="dxa"/>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仿宋_GB2312"/>
                <w:color w:val="000000"/>
                <w:sz w:val="21"/>
                <w:szCs w:val="21"/>
              </w:rPr>
            </w:pPr>
            <w:r>
              <w:rPr>
                <w:rFonts w:hint="eastAsia" w:ascii="仿宋_GB2312" w:hAnsi="宋体" w:cs="仿宋_GB2312"/>
                <w:color w:val="000000"/>
                <w:sz w:val="21"/>
                <w:szCs w:val="21"/>
              </w:rPr>
              <w:t>说明</w:t>
            </w:r>
          </w:p>
        </w:tc>
        <w:tc>
          <w:tcPr>
            <w:tcW w:w="8364" w:type="dxa"/>
            <w:gridSpan w:val="9"/>
            <w:tcBorders>
              <w:top w:val="single" w:color="auto" w:sz="4"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ascii="仿宋_GB2312" w:hAnsi="宋体" w:cs="宋体"/>
                <w:color w:val="000000"/>
                <w:sz w:val="21"/>
                <w:szCs w:val="21"/>
              </w:rPr>
            </w:pPr>
            <w:r>
              <w:rPr>
                <w:rFonts w:hint="eastAsia" w:ascii="仿宋_GB2312" w:hAnsi="宋体" w:cs="宋体"/>
                <w:color w:val="000000"/>
                <w:sz w:val="21"/>
                <w:szCs w:val="21"/>
              </w:rPr>
              <w:t>无</w:t>
            </w:r>
          </w:p>
        </w:tc>
      </w:tr>
    </w:tbl>
    <w:p>
      <w:pPr>
        <w:spacing w:line="240" w:lineRule="exact"/>
        <w:rPr>
          <w:rFonts w:ascii="仿宋_GB2312" w:hAnsi="仿宋"/>
          <w:bCs/>
          <w:sz w:val="21"/>
          <w:szCs w:val="21"/>
        </w:rPr>
      </w:pPr>
      <w:r>
        <w:rPr>
          <w:rFonts w:hint="eastAsia" w:ascii="仿宋_GB2312" w:hAnsi="仿宋"/>
          <w:bCs/>
          <w:sz w:val="21"/>
          <w:szCs w:val="21"/>
        </w:rPr>
        <w:t>注：1.其他资金包括和中央补助、地方财政资金共同投入到同一项目的自有资金、社会资金，以及以前年度的结转结余资金等。</w:t>
      </w:r>
    </w:p>
    <w:p>
      <w:pPr>
        <w:spacing w:line="240" w:lineRule="exact"/>
        <w:ind w:firstLine="420" w:firstLineChars="200"/>
        <w:rPr>
          <w:rFonts w:ascii="仿宋_GB2312" w:hAnsi="仿宋"/>
          <w:bCs/>
          <w:sz w:val="21"/>
          <w:szCs w:val="21"/>
        </w:rPr>
      </w:pPr>
      <w:r>
        <w:rPr>
          <w:rFonts w:hint="eastAsia" w:ascii="仿宋_GB2312" w:hAnsi="仿宋"/>
          <w:bCs/>
          <w:sz w:val="21"/>
          <w:szCs w:val="21"/>
        </w:rPr>
        <w:t>2.定量指标，资金使用单位填写本地区实际完成数。财政和主管部门汇总时，对绝对值直接累加计算，相对值按照资金额度加权平均计算。</w:t>
      </w:r>
    </w:p>
    <w:p>
      <w:pPr>
        <w:spacing w:line="240" w:lineRule="exact"/>
        <w:ind w:firstLine="420" w:firstLineChars="200"/>
        <w:rPr>
          <w:rFonts w:ascii="仿宋_GB2312" w:hAnsi="仿宋"/>
          <w:bCs/>
          <w:sz w:val="21"/>
          <w:szCs w:val="21"/>
        </w:rPr>
      </w:pPr>
      <w:r>
        <w:rPr>
          <w:rFonts w:hint="eastAsia" w:ascii="仿宋_GB2312" w:hAnsi="仿宋"/>
          <w:bCs/>
          <w:sz w:val="21"/>
          <w:szCs w:val="21"/>
        </w:rPr>
        <w:t>3.定性指标根据指标完成情况分为：全部或基本达成预期指标、部分达成预期指标并具有一定效果、未达成预期指标且效果较差三档，分别按照100%-80%（含）、80%-60%（含）、60-0%合理填写完成比例。</w:t>
      </w:r>
    </w:p>
    <w:p>
      <w:pPr>
        <w:spacing w:line="240" w:lineRule="exact"/>
        <w:ind w:firstLine="420" w:firstLineChars="200"/>
        <w:rPr>
          <w:rFonts w:ascii="仿宋_GB2312" w:hAnsi="仿宋"/>
          <w:bCs/>
          <w:sz w:val="21"/>
          <w:szCs w:val="21"/>
        </w:rPr>
      </w:pPr>
      <w:r>
        <w:rPr>
          <w:rFonts w:hint="eastAsia" w:ascii="仿宋_GB2312" w:hAnsi="仿宋"/>
          <w:bCs/>
          <w:sz w:val="21"/>
          <w:szCs w:val="21"/>
        </w:rPr>
        <w:t>4.资金使用单位按项目填报，主管部门和财政部门汇总时按区域绩效目标填报。</w:t>
      </w:r>
    </w:p>
    <w:p>
      <w:pPr>
        <w:spacing w:line="240" w:lineRule="exact"/>
        <w:rPr>
          <w:rFonts w:ascii="仿宋_GB2312" w:hAnsi="仿宋"/>
          <w:bCs/>
          <w:sz w:val="21"/>
          <w:szCs w:val="21"/>
        </w:rPr>
      </w:pPr>
    </w:p>
    <w:sectPr>
      <w:pgSz w:w="11906" w:h="16838"/>
      <w:pgMar w:top="1871" w:right="1531" w:bottom="1644" w:left="1531" w:header="851" w:footer="992" w:gutter="0"/>
      <w:pgNumType w:fmt="numberInDash"/>
      <w:cols w:space="720" w:num="1"/>
      <w:docGrid w:type="line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2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东文宋体">
    <w:altName w:val="Times New Roman"/>
    <w:panose1 w:val="00000000000000000000"/>
    <w:charset w:val="00"/>
    <w:family w:val="auto"/>
    <w:pitch w:val="default"/>
    <w:sig w:usb0="00000000" w:usb1="00000000" w:usb2="00000000" w:usb3="00000000" w:csb0="00040001" w:csb1="00000000"/>
  </w:font>
  <w:font w:name="文泉驿正黑">
    <w:panose1 w:val="02000603000000000000"/>
    <w:charset w:val="86"/>
    <w:family w:val="auto"/>
    <w:pitch w:val="default"/>
    <w:sig w:usb0="900002BF" w:usb1="2BDF7DFB" w:usb2="00000036" w:usb3="00000000" w:csb0="603E000D" w:csb1="D2D70000"/>
  </w:font>
  <w:font w:name="DejaVu Sans">
    <w:panose1 w:val="020B0603030804020204"/>
    <w:charset w:val="00"/>
    <w:family w:val="auto"/>
    <w:pitch w:val="default"/>
    <w:sig w:usb0="E7006EFF" w:usb1="D200FDFF" w:usb2="0A246029" w:usb3="0400200C" w:csb0="600001FF" w:csb1="DFFF0000"/>
  </w:font>
  <w:font w:name="方正宋体S-超大字符集(SIP)">
    <w:panose1 w:val="03000509000000000000"/>
    <w:charset w:val="86"/>
    <w:family w:val="auto"/>
    <w:pitch w:val="default"/>
    <w:sig w:usb0="00000003" w:usb1="0A0E08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3828217"/>
      <w:docPartObj>
        <w:docPartGallery w:val="autotext"/>
      </w:docPartObj>
    </w:sdtPr>
    <w:sdtContent>
      <w:p>
        <w:pPr>
          <w:pStyle w:val="3"/>
          <w:jc w:val="cente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50"/>
  <w:drawingGridVerticalSpacing w:val="204"/>
  <w:noPunctuationKerning w:val="true"/>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31EA"/>
    <w:rsid w:val="000F5C27"/>
    <w:rsid w:val="001066B2"/>
    <w:rsid w:val="00107E9D"/>
    <w:rsid w:val="001266CE"/>
    <w:rsid w:val="00152701"/>
    <w:rsid w:val="00172A27"/>
    <w:rsid w:val="00174569"/>
    <w:rsid w:val="00182235"/>
    <w:rsid w:val="001D698E"/>
    <w:rsid w:val="001D7B4D"/>
    <w:rsid w:val="001F4579"/>
    <w:rsid w:val="00202FC5"/>
    <w:rsid w:val="00234F04"/>
    <w:rsid w:val="00245A41"/>
    <w:rsid w:val="00274550"/>
    <w:rsid w:val="00286244"/>
    <w:rsid w:val="002A5B83"/>
    <w:rsid w:val="002A6E51"/>
    <w:rsid w:val="002B7380"/>
    <w:rsid w:val="00315126"/>
    <w:rsid w:val="00352531"/>
    <w:rsid w:val="003722B7"/>
    <w:rsid w:val="00375D93"/>
    <w:rsid w:val="003913E5"/>
    <w:rsid w:val="003B1F15"/>
    <w:rsid w:val="003C17B6"/>
    <w:rsid w:val="003C7708"/>
    <w:rsid w:val="003F413E"/>
    <w:rsid w:val="003F4F17"/>
    <w:rsid w:val="00431715"/>
    <w:rsid w:val="0044067E"/>
    <w:rsid w:val="0045231B"/>
    <w:rsid w:val="00470E11"/>
    <w:rsid w:val="0049455B"/>
    <w:rsid w:val="004D1FD5"/>
    <w:rsid w:val="004E6E88"/>
    <w:rsid w:val="00523FAA"/>
    <w:rsid w:val="005363A1"/>
    <w:rsid w:val="00550762"/>
    <w:rsid w:val="005555FA"/>
    <w:rsid w:val="00561002"/>
    <w:rsid w:val="00584E7E"/>
    <w:rsid w:val="005855BF"/>
    <w:rsid w:val="005A612D"/>
    <w:rsid w:val="00621434"/>
    <w:rsid w:val="00643EDB"/>
    <w:rsid w:val="00650AF5"/>
    <w:rsid w:val="00654C66"/>
    <w:rsid w:val="00671683"/>
    <w:rsid w:val="0067671E"/>
    <w:rsid w:val="0068126A"/>
    <w:rsid w:val="00686B81"/>
    <w:rsid w:val="006C1699"/>
    <w:rsid w:val="006F24D3"/>
    <w:rsid w:val="007260A0"/>
    <w:rsid w:val="007632B3"/>
    <w:rsid w:val="00765C1C"/>
    <w:rsid w:val="007769E7"/>
    <w:rsid w:val="007A2B66"/>
    <w:rsid w:val="007E7832"/>
    <w:rsid w:val="00822E91"/>
    <w:rsid w:val="008446A7"/>
    <w:rsid w:val="008F7D4C"/>
    <w:rsid w:val="0098297F"/>
    <w:rsid w:val="00A15F29"/>
    <w:rsid w:val="00A170BE"/>
    <w:rsid w:val="00A36EC3"/>
    <w:rsid w:val="00A65B66"/>
    <w:rsid w:val="00A87AE8"/>
    <w:rsid w:val="00AA1401"/>
    <w:rsid w:val="00AC6D0A"/>
    <w:rsid w:val="00B15E74"/>
    <w:rsid w:val="00B422DE"/>
    <w:rsid w:val="00BA0FCD"/>
    <w:rsid w:val="00BA2BA7"/>
    <w:rsid w:val="00BB3C88"/>
    <w:rsid w:val="00BC276E"/>
    <w:rsid w:val="00C414C7"/>
    <w:rsid w:val="00C82537"/>
    <w:rsid w:val="00CC024E"/>
    <w:rsid w:val="00CE3D9D"/>
    <w:rsid w:val="00D3739B"/>
    <w:rsid w:val="00D51DC2"/>
    <w:rsid w:val="00D869BB"/>
    <w:rsid w:val="00D93A4A"/>
    <w:rsid w:val="00DB7173"/>
    <w:rsid w:val="00DD2CAC"/>
    <w:rsid w:val="00E123F2"/>
    <w:rsid w:val="00E2502F"/>
    <w:rsid w:val="00E87D07"/>
    <w:rsid w:val="00EA1301"/>
    <w:rsid w:val="00EB6893"/>
    <w:rsid w:val="00F160AE"/>
    <w:rsid w:val="00F37CBC"/>
    <w:rsid w:val="00F43A0F"/>
    <w:rsid w:val="00F52C59"/>
    <w:rsid w:val="00F60E00"/>
    <w:rsid w:val="00F62228"/>
    <w:rsid w:val="00F74C3A"/>
    <w:rsid w:val="00F77A62"/>
    <w:rsid w:val="00F854C0"/>
    <w:rsid w:val="00F96259"/>
    <w:rsid w:val="00FE025F"/>
    <w:rsid w:val="04035D5A"/>
    <w:rsid w:val="057F9FB7"/>
    <w:rsid w:val="076BB8D2"/>
    <w:rsid w:val="08B45C58"/>
    <w:rsid w:val="0C5163B9"/>
    <w:rsid w:val="0F7B817B"/>
    <w:rsid w:val="100918A5"/>
    <w:rsid w:val="11EA70D7"/>
    <w:rsid w:val="12AB18E7"/>
    <w:rsid w:val="12EA492F"/>
    <w:rsid w:val="176BEAC2"/>
    <w:rsid w:val="19262702"/>
    <w:rsid w:val="23AE53F4"/>
    <w:rsid w:val="280D624D"/>
    <w:rsid w:val="2AC8057A"/>
    <w:rsid w:val="2BB7E764"/>
    <w:rsid w:val="2EE61A52"/>
    <w:rsid w:val="2F470F9E"/>
    <w:rsid w:val="2FF9AC4B"/>
    <w:rsid w:val="307B62C4"/>
    <w:rsid w:val="33BF694D"/>
    <w:rsid w:val="33EE5979"/>
    <w:rsid w:val="374764C0"/>
    <w:rsid w:val="38E7398A"/>
    <w:rsid w:val="3B6BD718"/>
    <w:rsid w:val="3BA656C5"/>
    <w:rsid w:val="3BB773F4"/>
    <w:rsid w:val="3BDF6DAB"/>
    <w:rsid w:val="3D3FA6B5"/>
    <w:rsid w:val="3DB391E0"/>
    <w:rsid w:val="3EFFC195"/>
    <w:rsid w:val="3F6F310D"/>
    <w:rsid w:val="3F7E4951"/>
    <w:rsid w:val="3FFD69D7"/>
    <w:rsid w:val="41335E8B"/>
    <w:rsid w:val="431E4209"/>
    <w:rsid w:val="45257161"/>
    <w:rsid w:val="462F659B"/>
    <w:rsid w:val="47FE496B"/>
    <w:rsid w:val="47FFB52B"/>
    <w:rsid w:val="4A077BC5"/>
    <w:rsid w:val="4AB5673E"/>
    <w:rsid w:val="4AFFA1AB"/>
    <w:rsid w:val="4B53415C"/>
    <w:rsid w:val="4EEB3750"/>
    <w:rsid w:val="4FC24077"/>
    <w:rsid w:val="4FFEF499"/>
    <w:rsid w:val="567BA858"/>
    <w:rsid w:val="567F7F5C"/>
    <w:rsid w:val="57EE19CF"/>
    <w:rsid w:val="57F7F456"/>
    <w:rsid w:val="57FAF016"/>
    <w:rsid w:val="5A4A68E0"/>
    <w:rsid w:val="5AFE4AC2"/>
    <w:rsid w:val="5CEF95DF"/>
    <w:rsid w:val="5D1FF414"/>
    <w:rsid w:val="5DFE45E8"/>
    <w:rsid w:val="5E317DAA"/>
    <w:rsid w:val="5ECC2EF1"/>
    <w:rsid w:val="5F120CF0"/>
    <w:rsid w:val="5F77B9B1"/>
    <w:rsid w:val="5FFF83A6"/>
    <w:rsid w:val="5FFFB02B"/>
    <w:rsid w:val="61D22374"/>
    <w:rsid w:val="62E62656"/>
    <w:rsid w:val="634F7964"/>
    <w:rsid w:val="63EE3DEE"/>
    <w:rsid w:val="65BD95D4"/>
    <w:rsid w:val="66CFAD43"/>
    <w:rsid w:val="67DF2ADE"/>
    <w:rsid w:val="68F30D21"/>
    <w:rsid w:val="68FD7785"/>
    <w:rsid w:val="6B56198A"/>
    <w:rsid w:val="6C052755"/>
    <w:rsid w:val="6CF56000"/>
    <w:rsid w:val="6DCD6259"/>
    <w:rsid w:val="6F7F5F86"/>
    <w:rsid w:val="6FDF6525"/>
    <w:rsid w:val="6FE7B32B"/>
    <w:rsid w:val="6FFA470E"/>
    <w:rsid w:val="6FFBAC40"/>
    <w:rsid w:val="704F4DFF"/>
    <w:rsid w:val="71611872"/>
    <w:rsid w:val="73122438"/>
    <w:rsid w:val="73EF954D"/>
    <w:rsid w:val="73FF4ECB"/>
    <w:rsid w:val="73FF55DB"/>
    <w:rsid w:val="76EBD15E"/>
    <w:rsid w:val="7779A134"/>
    <w:rsid w:val="7797501E"/>
    <w:rsid w:val="77A7C73F"/>
    <w:rsid w:val="77DFEC90"/>
    <w:rsid w:val="77EF5682"/>
    <w:rsid w:val="77FF5F39"/>
    <w:rsid w:val="78EE956F"/>
    <w:rsid w:val="79DD55A8"/>
    <w:rsid w:val="79ED52DC"/>
    <w:rsid w:val="7A1FCC9B"/>
    <w:rsid w:val="7B8F6DBA"/>
    <w:rsid w:val="7BFB30B3"/>
    <w:rsid w:val="7CFC11CE"/>
    <w:rsid w:val="7D5BD923"/>
    <w:rsid w:val="7D6E0E0D"/>
    <w:rsid w:val="7DC7A657"/>
    <w:rsid w:val="7DEB3F80"/>
    <w:rsid w:val="7DF4E18A"/>
    <w:rsid w:val="7DF7D292"/>
    <w:rsid w:val="7DFA91F9"/>
    <w:rsid w:val="7DFF6F7E"/>
    <w:rsid w:val="7E5BEE8E"/>
    <w:rsid w:val="7E5D79CA"/>
    <w:rsid w:val="7EAEA1EF"/>
    <w:rsid w:val="7ECF35AC"/>
    <w:rsid w:val="7EF5BD63"/>
    <w:rsid w:val="7EFDC2CB"/>
    <w:rsid w:val="7F6B0535"/>
    <w:rsid w:val="7F7F38EC"/>
    <w:rsid w:val="7FA522D8"/>
    <w:rsid w:val="7FDFE6AF"/>
    <w:rsid w:val="7FE731A3"/>
    <w:rsid w:val="7FF14DCE"/>
    <w:rsid w:val="7FFD9AE5"/>
    <w:rsid w:val="97B7C684"/>
    <w:rsid w:val="ABFD995D"/>
    <w:rsid w:val="ABFFDC1D"/>
    <w:rsid w:val="AEEE825B"/>
    <w:rsid w:val="AF3F5FA5"/>
    <w:rsid w:val="B5FBC1A9"/>
    <w:rsid w:val="B7FA09A0"/>
    <w:rsid w:val="BB3FEA53"/>
    <w:rsid w:val="BDE77F8B"/>
    <w:rsid w:val="BDFF83D7"/>
    <w:rsid w:val="BEE13DA5"/>
    <w:rsid w:val="C59D015A"/>
    <w:rsid w:val="CFB74743"/>
    <w:rsid w:val="D69934CE"/>
    <w:rsid w:val="D7BFB78E"/>
    <w:rsid w:val="DBCFF72E"/>
    <w:rsid w:val="DE3FBE98"/>
    <w:rsid w:val="DF1FD1CF"/>
    <w:rsid w:val="DF4CAED2"/>
    <w:rsid w:val="DFAFF222"/>
    <w:rsid w:val="DFBF449B"/>
    <w:rsid w:val="DFDB0619"/>
    <w:rsid w:val="DFF7A506"/>
    <w:rsid w:val="DFFF75ED"/>
    <w:rsid w:val="E7DD7791"/>
    <w:rsid w:val="E7FF4CD6"/>
    <w:rsid w:val="EB77418C"/>
    <w:rsid w:val="EB9BB342"/>
    <w:rsid w:val="EBE9B82C"/>
    <w:rsid w:val="EDFFCFA4"/>
    <w:rsid w:val="EF774EC6"/>
    <w:rsid w:val="EF7F2E72"/>
    <w:rsid w:val="EFB5A476"/>
    <w:rsid w:val="EFE52377"/>
    <w:rsid w:val="F4D2DDE9"/>
    <w:rsid w:val="F5AE4D22"/>
    <w:rsid w:val="F79FA00B"/>
    <w:rsid w:val="F7FB426F"/>
    <w:rsid w:val="F9FF70A6"/>
    <w:rsid w:val="FA7FE20B"/>
    <w:rsid w:val="FB8F3AB6"/>
    <w:rsid w:val="FBD36543"/>
    <w:rsid w:val="FBDE594B"/>
    <w:rsid w:val="FBFFE7F6"/>
    <w:rsid w:val="FC6FA5C4"/>
    <w:rsid w:val="FC7FDEDD"/>
    <w:rsid w:val="FD3766BD"/>
    <w:rsid w:val="FD39BB32"/>
    <w:rsid w:val="FDBF8A72"/>
    <w:rsid w:val="FDD5737D"/>
    <w:rsid w:val="FDF55CE6"/>
    <w:rsid w:val="FDFC745D"/>
    <w:rsid w:val="FDFF6C4A"/>
    <w:rsid w:val="FE7A614D"/>
    <w:rsid w:val="FEF32900"/>
    <w:rsid w:val="FFB7FF7F"/>
    <w:rsid w:val="FFBF79C6"/>
    <w:rsid w:val="FFCAD22D"/>
    <w:rsid w:val="FFDEF359"/>
    <w:rsid w:val="FFEFE681"/>
    <w:rsid w:val="FFF3ECCF"/>
    <w:rsid w:val="FFF7EF5D"/>
    <w:rsid w:val="FFFB1B64"/>
    <w:rsid w:val="FFFB4E41"/>
    <w:rsid w:val="FFFC1B51"/>
    <w:rsid w:val="FFFFB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locked/>
    <w:uiPriority w:val="0"/>
    <w:rPr>
      <w:b/>
      <w:bCs/>
    </w:rPr>
  </w:style>
  <w:style w:type="character" w:customStyle="1" w:styleId="8">
    <w:name w:val="批注框文本 字符"/>
    <w:basedOn w:val="6"/>
    <w:link w:val="2"/>
    <w:semiHidden/>
    <w:qFormat/>
    <w:uiPriority w:val="99"/>
    <w:rPr>
      <w:rFonts w:ascii="Times New Roman" w:hAnsi="Times New Roman" w:eastAsia="仿宋_GB2312"/>
      <w:kern w:val="2"/>
      <w:sz w:val="18"/>
      <w:szCs w:val="18"/>
    </w:rPr>
  </w:style>
  <w:style w:type="character" w:customStyle="1" w:styleId="9">
    <w:name w:val="页脚 字符"/>
    <w:basedOn w:val="6"/>
    <w:link w:val="3"/>
    <w:qFormat/>
    <w:uiPriority w:val="99"/>
    <w:rPr>
      <w:rFonts w:ascii="Times New Roman" w:hAnsi="Times New Roman" w:eastAsia="仿宋_GB2312"/>
      <w:kern w:val="2"/>
      <w:sz w:val="18"/>
      <w:szCs w:val="18"/>
    </w:rPr>
  </w:style>
  <w:style w:type="character" w:customStyle="1" w:styleId="10">
    <w:name w:val="页眉 字符"/>
    <w:basedOn w:val="6"/>
    <w:link w:val="4"/>
    <w:qFormat/>
    <w:uiPriority w:val="99"/>
    <w:rPr>
      <w:rFonts w:ascii="Times New Roman" w:hAnsi="Times New Roman" w:eastAsia="仿宋_GB2312"/>
      <w:kern w:val="2"/>
      <w:sz w:val="18"/>
      <w:szCs w:val="18"/>
    </w:rPr>
  </w:style>
  <w:style w:type="character" w:customStyle="1" w:styleId="11">
    <w:name w:val="font51"/>
    <w:basedOn w:val="6"/>
    <w:qFormat/>
    <w:uiPriority w:val="0"/>
    <w:rPr>
      <w:rFonts w:hint="eastAsia" w:ascii="宋体" w:hAnsi="宋体" w:eastAsia="宋体" w:cs="宋体"/>
      <w:color w:val="000000"/>
      <w:sz w:val="18"/>
      <w:szCs w:val="18"/>
      <w:u w:val="none"/>
    </w:rPr>
  </w:style>
  <w:style w:type="character" w:customStyle="1" w:styleId="12">
    <w:name w:val="font31"/>
    <w:basedOn w:val="6"/>
    <w:qFormat/>
    <w:uiPriority w:val="0"/>
    <w:rPr>
      <w:rFonts w:hint="eastAsia" w:ascii="宋体" w:hAnsi="宋体" w:eastAsia="宋体" w:cs="宋体"/>
      <w:color w:val="000000"/>
      <w:sz w:val="20"/>
      <w:szCs w:val="20"/>
      <w:u w:val="none"/>
    </w:rPr>
  </w:style>
  <w:style w:type="character" w:customStyle="1" w:styleId="13">
    <w:name w:val="font71"/>
    <w:basedOn w:val="6"/>
    <w:qFormat/>
    <w:uiPriority w:val="0"/>
    <w:rPr>
      <w:rFonts w:hint="eastAsia" w:ascii="宋体" w:hAnsi="宋体" w:eastAsia="宋体" w:cs="宋体"/>
      <w:color w:val="000000"/>
      <w:sz w:val="18"/>
      <w:szCs w:val="18"/>
      <w:u w:val="none"/>
    </w:rPr>
  </w:style>
  <w:style w:type="character" w:customStyle="1" w:styleId="14">
    <w:name w:val="font11"/>
    <w:basedOn w:val="6"/>
    <w:qFormat/>
    <w:uiPriority w:val="0"/>
    <w:rPr>
      <w:rFonts w:hint="eastAsia" w:ascii="宋体" w:hAnsi="宋体" w:eastAsia="宋体" w:cs="宋体"/>
      <w:color w:val="000000"/>
      <w:sz w:val="20"/>
      <w:szCs w:val="20"/>
      <w:u w:val="none"/>
    </w:rPr>
  </w:style>
  <w:style w:type="character" w:customStyle="1" w:styleId="15">
    <w:name w:val="font101"/>
    <w:basedOn w:val="6"/>
    <w:qFormat/>
    <w:uiPriority w:val="0"/>
    <w:rPr>
      <w:rFonts w:hint="eastAsia" w:ascii="宋体" w:hAnsi="宋体" w:eastAsia="宋体" w:cs="宋体"/>
      <w:color w:val="000000"/>
      <w:sz w:val="18"/>
      <w:szCs w:val="18"/>
      <w:u w:val="none"/>
    </w:rPr>
  </w:style>
  <w:style w:type="character" w:customStyle="1" w:styleId="16">
    <w:name w:val="font81"/>
    <w:basedOn w:val="6"/>
    <w:qFormat/>
    <w:uiPriority w:val="0"/>
    <w:rPr>
      <w:rFonts w:hint="eastAsia" w:ascii="宋体" w:hAnsi="宋体" w:eastAsia="宋体" w:cs="宋体"/>
      <w:color w:val="000000"/>
      <w:sz w:val="18"/>
      <w:szCs w:val="18"/>
      <w:u w:val="none"/>
    </w:rPr>
  </w:style>
  <w:style w:type="character" w:customStyle="1" w:styleId="17">
    <w:name w:val="font111"/>
    <w:basedOn w:val="6"/>
    <w:qFormat/>
    <w:uiPriority w:val="0"/>
    <w:rPr>
      <w:rFonts w:hint="eastAsia" w:ascii="宋体" w:hAnsi="宋体" w:eastAsia="宋体" w:cs="宋体"/>
      <w:color w:val="000000"/>
      <w:sz w:val="20"/>
      <w:szCs w:val="20"/>
      <w:u w:val="none"/>
    </w:rPr>
  </w:style>
  <w:style w:type="character" w:customStyle="1" w:styleId="18">
    <w:name w:val="font01"/>
    <w:basedOn w:val="6"/>
    <w:qFormat/>
    <w:uiPriority w:val="0"/>
    <w:rPr>
      <w:rFonts w:hint="eastAsia" w:ascii="宋体" w:hAnsi="宋体" w:eastAsia="宋体" w:cs="宋体"/>
      <w:color w:val="000000"/>
      <w:sz w:val="20"/>
      <w:szCs w:val="20"/>
      <w:u w:val="none"/>
    </w:rPr>
  </w:style>
  <w:style w:type="paragraph" w:customStyle="1" w:styleId="19">
    <w:name w:val="列表段落1"/>
    <w:basedOn w:val="1"/>
    <w:unhideWhenUsed/>
    <w:qFormat/>
    <w:uiPriority w:val="99"/>
    <w:pPr>
      <w:ind w:firstLine="420" w:firstLineChars="200"/>
    </w:pPr>
  </w:style>
  <w:style w:type="character" w:customStyle="1" w:styleId="20">
    <w:name w:val="font21"/>
    <w:basedOn w:val="6"/>
    <w:qFormat/>
    <w:uiPriority w:val="0"/>
    <w:rPr>
      <w:rFonts w:hint="eastAsia" w:ascii="宋体" w:hAnsi="宋体" w:eastAsia="宋体" w:cs="宋体"/>
      <w:color w:val="000000"/>
      <w:sz w:val="16"/>
      <w:szCs w:val="16"/>
      <w:u w:val="none"/>
    </w:rPr>
  </w:style>
  <w:style w:type="character" w:customStyle="1" w:styleId="21">
    <w:name w:val="font41"/>
    <w:basedOn w:val="6"/>
    <w:qFormat/>
    <w:uiPriority w:val="0"/>
    <w:rPr>
      <w:rFonts w:hint="eastAsia" w:ascii="仿宋_GB2312" w:eastAsia="仿宋_GB2312" w:cs="仿宋_GB2312"/>
      <w:color w:val="000000"/>
      <w:sz w:val="16"/>
      <w:szCs w:val="16"/>
      <w:u w:val="none"/>
    </w:rPr>
  </w:style>
  <w:style w:type="character" w:customStyle="1" w:styleId="22">
    <w:name w:val="font61"/>
    <w:basedOn w:val="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969</Words>
  <Characters>5527</Characters>
  <Lines>46</Lines>
  <Paragraphs>12</Paragraphs>
  <TotalTime>6</TotalTime>
  <ScaleCrop>false</ScaleCrop>
  <LinksUpToDate>false</LinksUpToDate>
  <CharactersWithSpaces>6484</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2021-03-23T03:55:00Z</dcterms:created>
  <dc:creator>dr</dc:creator>
  <cp:lastModifiedBy>wq</cp:lastModifiedBy>
  <cp:lastPrinted>2021-03-29T11:21:00Z</cp:lastPrinted>
  <dcterms:modified xsi:type="dcterms:W3CDTF">2022-03-29T11:21:07Z</dcterms:modified>
  <dc:title>附件3</dc:title>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KSOSaveFontToCloudKey">
    <vt:lpwstr>205937282_btnclosed</vt:lpwstr>
  </property>
  <property fmtid="{D5CDD505-2E9C-101B-9397-08002B2CF9AE}" pid="4" name="ICV">
    <vt:lpwstr>024944BFACDE4D16AE481F1C55F383C8</vt:lpwstr>
  </property>
</Properties>
</file>